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898" w:rsidRDefault="00E86898" w:rsidP="00E86898">
      <w:pPr>
        <w:pStyle w:val="Title"/>
        <w:rPr>
          <w:rFonts w:ascii="Verdana" w:hAnsi="Verdana"/>
          <w:szCs w:val="20"/>
        </w:rPr>
      </w:pP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00"/>
        <w:gridCol w:w="8891"/>
      </w:tblGrid>
      <w:tr w:rsidR="00E86898">
        <w:tc>
          <w:tcPr>
            <w:tcW w:w="10491" w:type="dxa"/>
            <w:gridSpan w:val="2"/>
            <w:tcBorders>
              <w:top w:val="single" w:sz="4" w:space="0" w:color="000000"/>
              <w:left w:val="single" w:sz="4" w:space="0" w:color="000000"/>
              <w:bottom w:val="single" w:sz="4" w:space="0" w:color="000000"/>
              <w:right w:val="single" w:sz="4" w:space="0" w:color="000000"/>
            </w:tcBorders>
            <w:shd w:val="clear" w:color="auto" w:fill="00B0F0"/>
            <w:hideMark/>
          </w:tcPr>
          <w:p w:rsidR="00E86898" w:rsidRDefault="00E86898">
            <w:pPr>
              <w:outlineLvl w:val="0"/>
              <w:rPr>
                <w:rFonts w:ascii="Verdana" w:hAnsi="Verdana"/>
                <w:b/>
                <w:bCs/>
                <w:kern w:val="28"/>
                <w:sz w:val="20"/>
                <w:szCs w:val="20"/>
              </w:rPr>
            </w:pPr>
            <w:r>
              <w:rPr>
                <w:rFonts w:ascii="Verdana" w:hAnsi="Verdana"/>
                <w:b/>
                <w:bCs/>
                <w:kern w:val="28"/>
                <w:sz w:val="20"/>
                <w:szCs w:val="20"/>
              </w:rPr>
              <w:t xml:space="preserve">Decision guidelines relating to practitioners who have not registered as a psychotherapist within 3 years of obtaining their qualification or obtaining an association membership status eligible for registration. </w:t>
            </w:r>
          </w:p>
        </w:tc>
      </w:tr>
      <w:tr w:rsidR="00E86898">
        <w:tc>
          <w:tcPr>
            <w:tcW w:w="10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E86898" w:rsidRDefault="00E86898">
            <w:pPr>
              <w:jc w:val="both"/>
              <w:rPr>
                <w:rFonts w:ascii="Verdana" w:hAnsi="Verdana"/>
                <w:sz w:val="20"/>
                <w:szCs w:val="20"/>
              </w:rPr>
            </w:pPr>
            <w:r>
              <w:rPr>
                <w:rFonts w:ascii="Verdana" w:hAnsi="Verdana"/>
                <w:sz w:val="20"/>
                <w:szCs w:val="20"/>
              </w:rPr>
              <w:t xml:space="preserve">The following decision guidelines have been developed to assist the Board and its Committees in making fair, reasonable and lawful </w:t>
            </w:r>
            <w:proofErr w:type="gramStart"/>
            <w:r>
              <w:rPr>
                <w:rFonts w:ascii="Verdana" w:hAnsi="Verdana"/>
                <w:sz w:val="20"/>
                <w:szCs w:val="20"/>
              </w:rPr>
              <w:t>decisions which</w:t>
            </w:r>
            <w:proofErr w:type="gramEnd"/>
            <w:r>
              <w:rPr>
                <w:rFonts w:ascii="Verdana" w:hAnsi="Verdana"/>
                <w:sz w:val="20"/>
                <w:szCs w:val="20"/>
              </w:rPr>
              <w:t xml:space="preserve"> are consistent and equitable.</w:t>
            </w:r>
          </w:p>
          <w:p w:rsidR="00E86898" w:rsidRDefault="00E86898">
            <w:pPr>
              <w:jc w:val="both"/>
              <w:rPr>
                <w:rFonts w:ascii="Verdana" w:hAnsi="Verdana"/>
                <w:sz w:val="20"/>
                <w:szCs w:val="20"/>
              </w:rPr>
            </w:pPr>
          </w:p>
          <w:p w:rsidR="00E86898" w:rsidRDefault="00E86898">
            <w:pPr>
              <w:jc w:val="both"/>
              <w:rPr>
                <w:rFonts w:ascii="Verdana" w:hAnsi="Verdana"/>
                <w:sz w:val="20"/>
                <w:szCs w:val="20"/>
              </w:rPr>
            </w:pPr>
            <w:r>
              <w:rPr>
                <w:rFonts w:ascii="Verdana" w:hAnsi="Verdana"/>
                <w:sz w:val="20"/>
                <w:szCs w:val="20"/>
              </w:rPr>
              <w:t>In order to work legally as a psychotherapist it is necessary to:</w:t>
            </w:r>
          </w:p>
          <w:p w:rsidR="00E86898" w:rsidRDefault="00E86898">
            <w:pPr>
              <w:numPr>
                <w:ilvl w:val="0"/>
                <w:numId w:val="1"/>
              </w:numPr>
              <w:ind w:left="270" w:hanging="270"/>
              <w:jc w:val="both"/>
              <w:rPr>
                <w:rFonts w:ascii="Verdana" w:hAnsi="Verdana"/>
                <w:sz w:val="20"/>
                <w:szCs w:val="20"/>
              </w:rPr>
            </w:pPr>
            <w:r>
              <w:rPr>
                <w:rFonts w:ascii="Verdana" w:hAnsi="Verdana"/>
                <w:sz w:val="20"/>
                <w:szCs w:val="20"/>
              </w:rPr>
              <w:t xml:space="preserve">be registered with the Psychotherapists Board of </w:t>
            </w:r>
            <w:proofErr w:type="spellStart"/>
            <w:r>
              <w:rPr>
                <w:rFonts w:ascii="Verdana" w:hAnsi="Verdana"/>
                <w:sz w:val="20"/>
                <w:szCs w:val="20"/>
              </w:rPr>
              <w:t>Aotearoa</w:t>
            </w:r>
            <w:proofErr w:type="spellEnd"/>
            <w:r>
              <w:rPr>
                <w:rFonts w:ascii="Verdana" w:hAnsi="Verdana"/>
                <w:sz w:val="20"/>
                <w:szCs w:val="20"/>
              </w:rPr>
              <w:t xml:space="preserve"> New Zealand (the Board); and</w:t>
            </w:r>
          </w:p>
          <w:p w:rsidR="00E86898" w:rsidRDefault="00E86898">
            <w:pPr>
              <w:numPr>
                <w:ilvl w:val="0"/>
                <w:numId w:val="1"/>
              </w:numPr>
              <w:ind w:left="270" w:hanging="270"/>
              <w:jc w:val="both"/>
              <w:rPr>
                <w:rFonts w:ascii="Verdana" w:hAnsi="Verdana"/>
                <w:sz w:val="20"/>
                <w:szCs w:val="20"/>
              </w:rPr>
            </w:pPr>
            <w:proofErr w:type="gramStart"/>
            <w:r>
              <w:rPr>
                <w:rFonts w:ascii="Verdana" w:hAnsi="Verdana"/>
                <w:sz w:val="20"/>
                <w:szCs w:val="20"/>
              </w:rPr>
              <w:t>hold</w:t>
            </w:r>
            <w:proofErr w:type="gramEnd"/>
            <w:r>
              <w:rPr>
                <w:rFonts w:ascii="Verdana" w:hAnsi="Verdana"/>
                <w:sz w:val="20"/>
                <w:szCs w:val="20"/>
              </w:rPr>
              <w:t xml:space="preserve"> a current Annual Practising Certificate. </w:t>
            </w:r>
          </w:p>
          <w:p w:rsidR="00E86898" w:rsidRDefault="00E86898">
            <w:pPr>
              <w:jc w:val="both"/>
              <w:rPr>
                <w:rFonts w:ascii="Verdana" w:hAnsi="Verdana"/>
                <w:b/>
                <w:bCs/>
                <w:kern w:val="28"/>
                <w:sz w:val="20"/>
                <w:szCs w:val="20"/>
              </w:rPr>
            </w:pPr>
          </w:p>
          <w:p w:rsidR="00E86898" w:rsidRDefault="00E86898">
            <w:pPr>
              <w:jc w:val="both"/>
              <w:rPr>
                <w:rFonts w:ascii="Verdana" w:hAnsi="Verdana"/>
                <w:b/>
                <w:sz w:val="20"/>
                <w:szCs w:val="20"/>
              </w:rPr>
            </w:pPr>
            <w:r>
              <w:rPr>
                <w:rFonts w:ascii="Verdana" w:hAnsi="Verdana"/>
                <w:b/>
                <w:sz w:val="20"/>
                <w:szCs w:val="20"/>
              </w:rPr>
              <w:t>To that end, the objectives of this policy are:</w:t>
            </w:r>
          </w:p>
          <w:p w:rsidR="00E86898" w:rsidRDefault="00E86898">
            <w:pPr>
              <w:numPr>
                <w:ilvl w:val="0"/>
                <w:numId w:val="2"/>
              </w:numPr>
              <w:spacing w:line="276" w:lineRule="auto"/>
              <w:ind w:left="318" w:hanging="284"/>
              <w:jc w:val="both"/>
              <w:rPr>
                <w:rFonts w:ascii="Verdana" w:hAnsi="Verdana"/>
                <w:sz w:val="20"/>
                <w:szCs w:val="20"/>
              </w:rPr>
            </w:pPr>
            <w:r>
              <w:rPr>
                <w:rFonts w:ascii="Verdana" w:hAnsi="Verdana"/>
                <w:sz w:val="20"/>
                <w:szCs w:val="20"/>
              </w:rPr>
              <w:t>to identify factors that may increase the risk of loss of competence and factors that may mitigate this risk;</w:t>
            </w:r>
          </w:p>
          <w:p w:rsidR="00E86898" w:rsidRDefault="00E86898">
            <w:pPr>
              <w:numPr>
                <w:ilvl w:val="0"/>
                <w:numId w:val="2"/>
              </w:numPr>
              <w:spacing w:line="276" w:lineRule="auto"/>
              <w:ind w:left="318" w:hanging="284"/>
              <w:jc w:val="both"/>
              <w:rPr>
                <w:rFonts w:ascii="Verdana" w:hAnsi="Verdana"/>
                <w:sz w:val="20"/>
                <w:szCs w:val="20"/>
              </w:rPr>
            </w:pPr>
            <w:r>
              <w:rPr>
                <w:rFonts w:ascii="Verdana" w:hAnsi="Verdana"/>
                <w:sz w:val="20"/>
                <w:szCs w:val="20"/>
              </w:rPr>
              <w:t>to support practitioners to update their skills and knowledge;</w:t>
            </w:r>
          </w:p>
          <w:p w:rsidR="00E86898" w:rsidRDefault="00E86898">
            <w:pPr>
              <w:numPr>
                <w:ilvl w:val="0"/>
                <w:numId w:val="2"/>
              </w:numPr>
              <w:ind w:left="318" w:hanging="284"/>
              <w:jc w:val="both"/>
              <w:rPr>
                <w:rFonts w:ascii="Verdana" w:hAnsi="Verdana"/>
                <w:b/>
                <w:bCs/>
                <w:kern w:val="28"/>
                <w:sz w:val="20"/>
                <w:szCs w:val="20"/>
              </w:rPr>
            </w:pPr>
            <w:proofErr w:type="gramStart"/>
            <w:r>
              <w:rPr>
                <w:rFonts w:ascii="Verdana" w:hAnsi="Verdana"/>
                <w:sz w:val="20"/>
                <w:szCs w:val="20"/>
              </w:rPr>
              <w:t>to</w:t>
            </w:r>
            <w:proofErr w:type="gramEnd"/>
            <w:r>
              <w:rPr>
                <w:rFonts w:ascii="Verdana" w:hAnsi="Verdana"/>
                <w:sz w:val="20"/>
                <w:szCs w:val="20"/>
              </w:rPr>
              <w:t xml:space="preserve"> assure the public of professional competence while avoiding unnecessary barriers.</w:t>
            </w:r>
          </w:p>
        </w:tc>
      </w:tr>
      <w:tr w:rsidR="00E86898">
        <w:tc>
          <w:tcPr>
            <w:tcW w:w="1600" w:type="dxa"/>
            <w:tcBorders>
              <w:top w:val="single" w:sz="4" w:space="0" w:color="000000"/>
              <w:left w:val="single" w:sz="4" w:space="0" w:color="000000"/>
              <w:bottom w:val="single" w:sz="4" w:space="0" w:color="000000"/>
              <w:right w:val="single" w:sz="4" w:space="0" w:color="000000"/>
            </w:tcBorders>
          </w:tcPr>
          <w:p w:rsidR="00E86898" w:rsidRDefault="00E86898">
            <w:pPr>
              <w:jc w:val="both"/>
              <w:rPr>
                <w:rFonts w:ascii="Verdana" w:hAnsi="Verdana"/>
                <w:b/>
                <w:sz w:val="20"/>
                <w:szCs w:val="20"/>
              </w:rPr>
            </w:pPr>
            <w:r>
              <w:rPr>
                <w:rFonts w:ascii="Verdana" w:hAnsi="Verdana"/>
                <w:b/>
                <w:sz w:val="20"/>
                <w:szCs w:val="20"/>
              </w:rPr>
              <w:t>Preamble</w:t>
            </w:r>
          </w:p>
          <w:p w:rsidR="00E86898" w:rsidRDefault="00E86898">
            <w:pPr>
              <w:jc w:val="both"/>
              <w:rPr>
                <w:rFonts w:ascii="Verdana" w:hAnsi="Verdana"/>
                <w:b/>
                <w:sz w:val="20"/>
                <w:szCs w:val="20"/>
              </w:rPr>
            </w:pPr>
          </w:p>
        </w:tc>
        <w:tc>
          <w:tcPr>
            <w:tcW w:w="8891" w:type="dxa"/>
            <w:tcBorders>
              <w:top w:val="single" w:sz="4" w:space="0" w:color="000000"/>
              <w:left w:val="single" w:sz="4" w:space="0" w:color="000000"/>
              <w:bottom w:val="single" w:sz="4" w:space="0" w:color="000000"/>
              <w:right w:val="single" w:sz="4" w:space="0" w:color="000000"/>
            </w:tcBorders>
          </w:tcPr>
          <w:p w:rsidR="00E86898" w:rsidRDefault="00E86898">
            <w:pPr>
              <w:jc w:val="both"/>
              <w:rPr>
                <w:rFonts w:ascii="Verdana" w:hAnsi="Verdana"/>
                <w:sz w:val="20"/>
                <w:szCs w:val="20"/>
              </w:rPr>
            </w:pPr>
            <w:r>
              <w:rPr>
                <w:rFonts w:ascii="Verdana" w:hAnsi="Verdana"/>
                <w:sz w:val="20"/>
                <w:szCs w:val="20"/>
              </w:rPr>
              <w:t>Under Section 15 of the HPCAA the Board may register applicants within a scope of practice if they:</w:t>
            </w:r>
          </w:p>
          <w:p w:rsidR="00E86898" w:rsidRDefault="00E86898">
            <w:pPr>
              <w:numPr>
                <w:ilvl w:val="0"/>
                <w:numId w:val="3"/>
              </w:numPr>
              <w:ind w:left="270" w:hanging="270"/>
              <w:jc w:val="both"/>
              <w:rPr>
                <w:rFonts w:ascii="Verdana" w:hAnsi="Verdana"/>
                <w:sz w:val="20"/>
                <w:szCs w:val="20"/>
              </w:rPr>
            </w:pPr>
            <w:r>
              <w:rPr>
                <w:rFonts w:ascii="Verdana" w:hAnsi="Verdana"/>
                <w:sz w:val="20"/>
                <w:szCs w:val="20"/>
              </w:rPr>
              <w:t>have the qualifications that are prescribed, under section 12, for that scope of practice; and</w:t>
            </w:r>
          </w:p>
          <w:p w:rsidR="00E86898" w:rsidRDefault="00E86898">
            <w:pPr>
              <w:numPr>
                <w:ilvl w:val="0"/>
                <w:numId w:val="3"/>
              </w:numPr>
              <w:ind w:left="270" w:hanging="270"/>
              <w:jc w:val="both"/>
              <w:rPr>
                <w:rFonts w:ascii="Verdana" w:hAnsi="Verdana"/>
                <w:sz w:val="20"/>
                <w:szCs w:val="20"/>
              </w:rPr>
            </w:pPr>
            <w:r>
              <w:rPr>
                <w:rFonts w:ascii="Verdana" w:hAnsi="Verdana"/>
                <w:sz w:val="20"/>
                <w:szCs w:val="20"/>
              </w:rPr>
              <w:t>are fit for registration in accordance with section 14; and</w:t>
            </w:r>
          </w:p>
          <w:p w:rsidR="00E86898" w:rsidRDefault="00E86898">
            <w:pPr>
              <w:numPr>
                <w:ilvl w:val="0"/>
                <w:numId w:val="3"/>
              </w:numPr>
              <w:ind w:left="270" w:hanging="270"/>
              <w:jc w:val="both"/>
              <w:rPr>
                <w:rFonts w:ascii="Verdana" w:hAnsi="Verdana"/>
                <w:sz w:val="20"/>
                <w:szCs w:val="20"/>
              </w:rPr>
            </w:pPr>
            <w:proofErr w:type="gramStart"/>
            <w:r>
              <w:rPr>
                <w:rFonts w:ascii="Verdana" w:hAnsi="Verdana"/>
                <w:sz w:val="20"/>
                <w:szCs w:val="20"/>
              </w:rPr>
              <w:t>are</w:t>
            </w:r>
            <w:proofErr w:type="gramEnd"/>
            <w:r>
              <w:rPr>
                <w:rFonts w:ascii="Verdana" w:hAnsi="Verdana"/>
                <w:sz w:val="20"/>
                <w:szCs w:val="20"/>
              </w:rPr>
              <w:t xml:space="preserve"> competent to practise within that scope of practice. </w:t>
            </w:r>
          </w:p>
          <w:p w:rsidR="00E86898" w:rsidRDefault="00E86898">
            <w:pPr>
              <w:jc w:val="both"/>
              <w:rPr>
                <w:rFonts w:ascii="Verdana" w:hAnsi="Verdana"/>
                <w:sz w:val="20"/>
                <w:szCs w:val="20"/>
              </w:rPr>
            </w:pPr>
          </w:p>
          <w:p w:rsidR="00E86898" w:rsidRDefault="00E86898">
            <w:pPr>
              <w:jc w:val="both"/>
              <w:rPr>
                <w:rFonts w:ascii="Verdana" w:hAnsi="Verdana"/>
                <w:sz w:val="20"/>
                <w:szCs w:val="20"/>
              </w:rPr>
            </w:pPr>
            <w:r>
              <w:rPr>
                <w:rFonts w:ascii="Verdana" w:hAnsi="Verdana"/>
                <w:sz w:val="20"/>
                <w:szCs w:val="20"/>
              </w:rPr>
              <w:t>This policy focuses on competence to practise.</w:t>
            </w:r>
          </w:p>
          <w:p w:rsidR="00E86898" w:rsidRDefault="00E86898">
            <w:pPr>
              <w:jc w:val="both"/>
              <w:rPr>
                <w:rFonts w:ascii="Verdana" w:hAnsi="Verdana"/>
                <w:sz w:val="20"/>
                <w:szCs w:val="20"/>
              </w:rPr>
            </w:pPr>
          </w:p>
          <w:p w:rsidR="00E86898" w:rsidRDefault="00E86898">
            <w:pPr>
              <w:jc w:val="both"/>
              <w:rPr>
                <w:rFonts w:ascii="Verdana" w:hAnsi="Verdana"/>
                <w:b/>
                <w:sz w:val="20"/>
                <w:szCs w:val="20"/>
              </w:rPr>
            </w:pPr>
            <w:r>
              <w:rPr>
                <w:rFonts w:ascii="Verdana" w:hAnsi="Verdana"/>
                <w:b/>
                <w:sz w:val="20"/>
                <w:szCs w:val="20"/>
              </w:rPr>
              <w:t>This document contains information for practitioners who are seeking registration and an annual practising certification who either:</w:t>
            </w:r>
          </w:p>
          <w:p w:rsidR="00E86898" w:rsidRDefault="00E86898">
            <w:pPr>
              <w:jc w:val="both"/>
              <w:rPr>
                <w:rFonts w:ascii="Verdana" w:hAnsi="Verdana"/>
                <w:b/>
                <w:sz w:val="20"/>
                <w:szCs w:val="20"/>
              </w:rPr>
            </w:pPr>
          </w:p>
          <w:p w:rsidR="00E86898" w:rsidRDefault="00E86898">
            <w:pPr>
              <w:numPr>
                <w:ilvl w:val="0"/>
                <w:numId w:val="4"/>
              </w:numPr>
              <w:ind w:left="270" w:hanging="283"/>
              <w:jc w:val="both"/>
              <w:rPr>
                <w:rFonts w:ascii="Verdana" w:hAnsi="Verdana"/>
                <w:sz w:val="20"/>
                <w:szCs w:val="20"/>
              </w:rPr>
            </w:pPr>
            <w:r>
              <w:rPr>
                <w:rFonts w:ascii="Verdana" w:hAnsi="Verdana"/>
                <w:sz w:val="20"/>
                <w:szCs w:val="20"/>
              </w:rPr>
              <w:t xml:space="preserve">Graduated with an approved </w:t>
            </w:r>
            <w:proofErr w:type="spellStart"/>
            <w:r>
              <w:rPr>
                <w:rFonts w:ascii="Verdana" w:hAnsi="Verdana"/>
                <w:sz w:val="20"/>
                <w:szCs w:val="20"/>
              </w:rPr>
              <w:t>grandparented</w:t>
            </w:r>
            <w:proofErr w:type="spellEnd"/>
            <w:r>
              <w:rPr>
                <w:rFonts w:ascii="Verdana" w:hAnsi="Verdana"/>
                <w:sz w:val="20"/>
                <w:szCs w:val="20"/>
              </w:rPr>
              <w:t xml:space="preserve"> qualification more than 3 years ago (Tertiary Pathway); or</w:t>
            </w:r>
          </w:p>
          <w:p w:rsidR="00E86898" w:rsidRDefault="00E86898">
            <w:pPr>
              <w:numPr>
                <w:ilvl w:val="0"/>
                <w:numId w:val="4"/>
              </w:numPr>
              <w:ind w:left="270" w:hanging="283"/>
              <w:jc w:val="both"/>
              <w:rPr>
                <w:rFonts w:ascii="Verdana" w:hAnsi="Verdana"/>
                <w:sz w:val="20"/>
                <w:szCs w:val="20"/>
              </w:rPr>
            </w:pPr>
            <w:r>
              <w:rPr>
                <w:rFonts w:ascii="Verdana" w:hAnsi="Verdana"/>
                <w:sz w:val="20"/>
                <w:szCs w:val="20"/>
              </w:rPr>
              <w:t>Obtained eligibility for registration with membership of ANZSJA, NZAP or NZACAP more than 3 years ago (Professional Development Pathway).</w:t>
            </w:r>
          </w:p>
          <w:p w:rsidR="00E86898" w:rsidRDefault="00E86898">
            <w:pPr>
              <w:jc w:val="both"/>
              <w:rPr>
                <w:rFonts w:ascii="Verdana" w:hAnsi="Verdana"/>
                <w:sz w:val="20"/>
                <w:szCs w:val="20"/>
              </w:rPr>
            </w:pPr>
          </w:p>
          <w:p w:rsidR="00E86898" w:rsidRDefault="00E86898">
            <w:pPr>
              <w:jc w:val="both"/>
              <w:rPr>
                <w:rFonts w:ascii="Verdana" w:hAnsi="Verdana"/>
                <w:sz w:val="20"/>
                <w:szCs w:val="20"/>
              </w:rPr>
            </w:pPr>
            <w:r>
              <w:rPr>
                <w:rFonts w:ascii="Verdana" w:hAnsi="Verdana"/>
                <w:sz w:val="20"/>
                <w:szCs w:val="20"/>
              </w:rPr>
              <w:t xml:space="preserve">Applicants applying for registration more than 3 years after completing the tertiary or professional development pathway requirements are required to demonstrate their competence to practise.  </w:t>
            </w:r>
          </w:p>
        </w:tc>
      </w:tr>
      <w:tr w:rsidR="00E86898">
        <w:tc>
          <w:tcPr>
            <w:tcW w:w="1600" w:type="dxa"/>
            <w:tcBorders>
              <w:top w:val="single" w:sz="4" w:space="0" w:color="000000"/>
              <w:left w:val="single" w:sz="4" w:space="0" w:color="000000"/>
              <w:bottom w:val="single" w:sz="4" w:space="0" w:color="000000"/>
              <w:right w:val="single" w:sz="4" w:space="0" w:color="000000"/>
            </w:tcBorders>
          </w:tcPr>
          <w:p w:rsidR="00E86898" w:rsidRDefault="00E86898">
            <w:pPr>
              <w:jc w:val="both"/>
              <w:rPr>
                <w:rFonts w:ascii="Verdana" w:hAnsi="Verdana"/>
                <w:b/>
                <w:sz w:val="20"/>
                <w:szCs w:val="20"/>
              </w:rPr>
            </w:pPr>
            <w:r>
              <w:rPr>
                <w:rFonts w:ascii="Verdana" w:hAnsi="Verdana"/>
                <w:b/>
                <w:sz w:val="20"/>
                <w:szCs w:val="20"/>
              </w:rPr>
              <w:t>General operational principles</w:t>
            </w:r>
          </w:p>
          <w:p w:rsidR="00E86898" w:rsidRDefault="00E86898">
            <w:pPr>
              <w:jc w:val="both"/>
              <w:rPr>
                <w:rFonts w:ascii="Verdana" w:hAnsi="Verdana"/>
                <w:b/>
                <w:sz w:val="20"/>
                <w:szCs w:val="20"/>
              </w:rPr>
            </w:pPr>
          </w:p>
        </w:tc>
        <w:tc>
          <w:tcPr>
            <w:tcW w:w="8891" w:type="dxa"/>
            <w:tcBorders>
              <w:top w:val="single" w:sz="4" w:space="0" w:color="000000"/>
              <w:left w:val="single" w:sz="4" w:space="0" w:color="000000"/>
              <w:bottom w:val="single" w:sz="4" w:space="0" w:color="000000"/>
              <w:right w:val="single" w:sz="4" w:space="0" w:color="000000"/>
            </w:tcBorders>
            <w:hideMark/>
          </w:tcPr>
          <w:p w:rsidR="00E86898" w:rsidRDefault="00E86898">
            <w:pPr>
              <w:spacing w:after="240" w:line="276" w:lineRule="auto"/>
              <w:ind w:right="176"/>
              <w:contextualSpacing/>
              <w:jc w:val="both"/>
              <w:rPr>
                <w:rFonts w:ascii="Verdana" w:hAnsi="Verdana"/>
                <w:sz w:val="20"/>
                <w:szCs w:val="20"/>
              </w:rPr>
            </w:pPr>
            <w:r>
              <w:rPr>
                <w:rFonts w:ascii="Verdana" w:hAnsi="Verdana"/>
                <w:sz w:val="20"/>
                <w:szCs w:val="20"/>
              </w:rPr>
              <w:t>A psychotherapist is expected to demonstrate responsibility for ensuring their own competence by undertaking to:</w:t>
            </w:r>
          </w:p>
          <w:p w:rsidR="00E86898" w:rsidRDefault="00E86898">
            <w:pPr>
              <w:numPr>
                <w:ilvl w:val="0"/>
                <w:numId w:val="5"/>
              </w:numPr>
              <w:spacing w:after="240" w:line="276" w:lineRule="auto"/>
              <w:ind w:right="176"/>
              <w:contextualSpacing/>
              <w:jc w:val="both"/>
              <w:rPr>
                <w:rFonts w:ascii="Verdana" w:hAnsi="Verdana"/>
                <w:sz w:val="20"/>
                <w:szCs w:val="20"/>
              </w:rPr>
            </w:pPr>
            <w:r>
              <w:rPr>
                <w:rFonts w:ascii="Verdana" w:hAnsi="Verdana"/>
                <w:sz w:val="20"/>
                <w:szCs w:val="20"/>
              </w:rPr>
              <w:t>Engage with a psychotherapist who is an experienced supervisor, to supervise their commencement or return to clinical practice. This person must be a fully qualified practitioner registered in either the Psychotherapist Scope of Practice or Psychotherapist Scope of Practice with Child and Adolescent Specialism with a current APC, or a Board approved person</w:t>
            </w:r>
            <w:r>
              <w:rPr>
                <w:rStyle w:val="FootnoteReference"/>
                <w:rFonts w:ascii="Verdana" w:hAnsi="Verdana"/>
                <w:szCs w:val="20"/>
              </w:rPr>
              <w:footnoteReference w:id="1"/>
            </w:r>
            <w:r>
              <w:rPr>
                <w:rFonts w:ascii="Verdana" w:hAnsi="Verdana"/>
                <w:sz w:val="20"/>
                <w:szCs w:val="20"/>
              </w:rPr>
              <w:t xml:space="preserve">.  </w:t>
            </w:r>
          </w:p>
          <w:p w:rsidR="00E86898" w:rsidRDefault="00E86898">
            <w:pPr>
              <w:numPr>
                <w:ilvl w:val="0"/>
                <w:numId w:val="5"/>
              </w:numPr>
              <w:spacing w:after="240" w:line="276" w:lineRule="auto"/>
              <w:ind w:right="176"/>
              <w:contextualSpacing/>
              <w:jc w:val="both"/>
              <w:rPr>
                <w:rFonts w:ascii="Verdana" w:hAnsi="Verdana"/>
                <w:sz w:val="20"/>
                <w:szCs w:val="20"/>
              </w:rPr>
            </w:pPr>
            <w:r>
              <w:rPr>
                <w:rFonts w:ascii="Verdana" w:hAnsi="Verdana"/>
                <w:sz w:val="20"/>
                <w:szCs w:val="20"/>
              </w:rPr>
              <w:t xml:space="preserve">Provide the Board with a self-appraisal that outlines how they have maintained currency of their psychotherapy knowledge.   This self-appraisal should be detailed and provide specific information i.e. courses undertaken, books read etc. The self-appraisal should </w:t>
            </w:r>
            <w:proofErr w:type="gramStart"/>
            <w:r>
              <w:rPr>
                <w:rFonts w:ascii="Verdana" w:hAnsi="Verdana"/>
                <w:sz w:val="20"/>
                <w:szCs w:val="20"/>
              </w:rPr>
              <w:t>be developed</w:t>
            </w:r>
            <w:proofErr w:type="gramEnd"/>
            <w:r>
              <w:rPr>
                <w:rFonts w:ascii="Verdana" w:hAnsi="Verdana"/>
                <w:sz w:val="20"/>
                <w:szCs w:val="20"/>
              </w:rPr>
              <w:t xml:space="preserve"> with the </w:t>
            </w:r>
            <w:r>
              <w:rPr>
                <w:rFonts w:ascii="Verdana" w:hAnsi="Verdana"/>
                <w:sz w:val="20"/>
                <w:szCs w:val="20"/>
              </w:rPr>
              <w:lastRenderedPageBreak/>
              <w:t>psychotherapist’s clinical supervisor and will be guided by the Psychotherapist Core Clinical Competencies.</w:t>
            </w:r>
          </w:p>
          <w:p w:rsidR="00E86898" w:rsidRDefault="00E86898">
            <w:pPr>
              <w:numPr>
                <w:ilvl w:val="0"/>
                <w:numId w:val="5"/>
              </w:numPr>
              <w:spacing w:after="240" w:line="276" w:lineRule="auto"/>
              <w:ind w:right="176"/>
              <w:contextualSpacing/>
              <w:jc w:val="both"/>
              <w:rPr>
                <w:rFonts w:ascii="Verdana" w:hAnsi="Verdana"/>
                <w:sz w:val="20"/>
                <w:szCs w:val="20"/>
              </w:rPr>
            </w:pPr>
            <w:r>
              <w:rPr>
                <w:rFonts w:ascii="Verdana" w:hAnsi="Verdana"/>
                <w:sz w:val="20"/>
                <w:szCs w:val="20"/>
              </w:rPr>
              <w:t xml:space="preserve">Provide the Board with a remedial plan developed in conjunction with their supervisor that demonstrates how they intend to manage and monitor their practice of psychotherapy. This plan should cover at least the next 12 months and show specifically how the psychotherapist intends to develop their psychotherapy knowledge and skills.  </w:t>
            </w:r>
          </w:p>
          <w:p w:rsidR="00E86898" w:rsidRDefault="00E86898">
            <w:pPr>
              <w:spacing w:after="240" w:line="276" w:lineRule="auto"/>
              <w:ind w:left="720" w:right="176"/>
              <w:contextualSpacing/>
              <w:jc w:val="both"/>
              <w:rPr>
                <w:rFonts w:ascii="Verdana" w:hAnsi="Verdana"/>
                <w:sz w:val="20"/>
                <w:szCs w:val="20"/>
              </w:rPr>
            </w:pPr>
            <w:r>
              <w:rPr>
                <w:rFonts w:ascii="Verdana" w:hAnsi="Verdana"/>
                <w:sz w:val="20"/>
                <w:szCs w:val="20"/>
              </w:rPr>
              <w:t xml:space="preserve">3.1 The frequency and duration of the supervision, and the intensity of the      remedial plan, will be determined by the length of time away from active practice. It will also take into account the </w:t>
            </w:r>
            <w:proofErr w:type="gramStart"/>
            <w:r>
              <w:rPr>
                <w:rFonts w:ascii="Verdana" w:hAnsi="Verdana"/>
                <w:sz w:val="20"/>
                <w:szCs w:val="20"/>
              </w:rPr>
              <w:t>factors which</w:t>
            </w:r>
            <w:proofErr w:type="gramEnd"/>
            <w:r>
              <w:rPr>
                <w:rFonts w:ascii="Verdana" w:hAnsi="Verdana"/>
                <w:sz w:val="20"/>
                <w:szCs w:val="20"/>
              </w:rPr>
              <w:t xml:space="preserve"> are perceived to increase or mitigate the risk of loss of competence (see below).</w:t>
            </w:r>
          </w:p>
          <w:p w:rsidR="00E86898" w:rsidRDefault="00E86898">
            <w:pPr>
              <w:spacing w:after="240" w:line="276" w:lineRule="auto"/>
              <w:ind w:left="720" w:right="176"/>
              <w:contextualSpacing/>
              <w:jc w:val="both"/>
              <w:rPr>
                <w:rFonts w:ascii="Verdana" w:hAnsi="Verdana"/>
                <w:sz w:val="20"/>
                <w:szCs w:val="20"/>
              </w:rPr>
            </w:pPr>
            <w:r>
              <w:rPr>
                <w:rFonts w:ascii="Verdana" w:hAnsi="Verdana"/>
                <w:sz w:val="20"/>
                <w:szCs w:val="20"/>
              </w:rPr>
              <w:t xml:space="preserve">3.2 A remedial plan </w:t>
            </w:r>
            <w:proofErr w:type="gramStart"/>
            <w:r>
              <w:rPr>
                <w:rFonts w:ascii="Verdana" w:hAnsi="Verdana"/>
                <w:sz w:val="20"/>
                <w:szCs w:val="20"/>
              </w:rPr>
              <w:t>may be waived</w:t>
            </w:r>
            <w:proofErr w:type="gramEnd"/>
            <w:r>
              <w:rPr>
                <w:rFonts w:ascii="Verdana" w:hAnsi="Verdana"/>
                <w:sz w:val="20"/>
                <w:szCs w:val="20"/>
              </w:rPr>
              <w:t xml:space="preserve"> with the agreement of the Board committee. </w:t>
            </w:r>
          </w:p>
          <w:p w:rsidR="00E86898" w:rsidRDefault="00E86898">
            <w:pPr>
              <w:spacing w:line="276" w:lineRule="auto"/>
              <w:rPr>
                <w:rFonts w:ascii="Verdana" w:hAnsi="Verdana"/>
                <w:sz w:val="20"/>
                <w:szCs w:val="20"/>
              </w:rPr>
            </w:pPr>
            <w:r>
              <w:rPr>
                <w:rFonts w:ascii="Verdana" w:hAnsi="Verdana"/>
                <w:sz w:val="20"/>
                <w:szCs w:val="20"/>
              </w:rPr>
              <w:t xml:space="preserve">The Board reserves the right not to register a practitioner where the risks of loss of competence </w:t>
            </w:r>
            <w:proofErr w:type="gramStart"/>
            <w:r>
              <w:rPr>
                <w:rFonts w:ascii="Verdana" w:hAnsi="Verdana"/>
                <w:sz w:val="20"/>
                <w:szCs w:val="20"/>
              </w:rPr>
              <w:t>are deemed</w:t>
            </w:r>
            <w:proofErr w:type="gramEnd"/>
            <w:r>
              <w:rPr>
                <w:rFonts w:ascii="Verdana" w:hAnsi="Verdana"/>
                <w:sz w:val="20"/>
                <w:szCs w:val="20"/>
              </w:rPr>
              <w:t xml:space="preserve"> too high to be addressed by these processes. </w:t>
            </w:r>
          </w:p>
        </w:tc>
      </w:tr>
      <w:tr w:rsidR="00E86898">
        <w:tc>
          <w:tcPr>
            <w:tcW w:w="1600" w:type="dxa"/>
            <w:tcBorders>
              <w:top w:val="single" w:sz="4" w:space="0" w:color="000000"/>
              <w:left w:val="single" w:sz="4" w:space="0" w:color="000000"/>
              <w:bottom w:val="single" w:sz="4" w:space="0" w:color="000000"/>
              <w:right w:val="single" w:sz="4" w:space="0" w:color="000000"/>
            </w:tcBorders>
            <w:hideMark/>
          </w:tcPr>
          <w:p w:rsidR="00E86898" w:rsidRDefault="00E86898">
            <w:pPr>
              <w:jc w:val="both"/>
              <w:rPr>
                <w:rFonts w:ascii="Verdana" w:hAnsi="Verdana"/>
                <w:b/>
                <w:sz w:val="20"/>
                <w:szCs w:val="20"/>
              </w:rPr>
            </w:pPr>
            <w:r>
              <w:rPr>
                <w:rFonts w:ascii="Verdana" w:hAnsi="Verdana"/>
                <w:b/>
                <w:sz w:val="20"/>
                <w:szCs w:val="20"/>
              </w:rPr>
              <w:lastRenderedPageBreak/>
              <w:t>Proposed condition/s</w:t>
            </w:r>
          </w:p>
        </w:tc>
        <w:tc>
          <w:tcPr>
            <w:tcW w:w="8891" w:type="dxa"/>
            <w:tcBorders>
              <w:top w:val="single" w:sz="4" w:space="0" w:color="000000"/>
              <w:left w:val="single" w:sz="4" w:space="0" w:color="000000"/>
              <w:bottom w:val="single" w:sz="4" w:space="0" w:color="000000"/>
              <w:right w:val="single" w:sz="4" w:space="0" w:color="000000"/>
            </w:tcBorders>
            <w:hideMark/>
          </w:tcPr>
          <w:p w:rsidR="00E86898" w:rsidRDefault="00E86898">
            <w:pPr>
              <w:jc w:val="both"/>
              <w:rPr>
                <w:rFonts w:ascii="Verdana" w:hAnsi="Verdana"/>
                <w:sz w:val="20"/>
                <w:szCs w:val="20"/>
              </w:rPr>
            </w:pPr>
            <w:r>
              <w:rPr>
                <w:rFonts w:ascii="Verdana" w:hAnsi="Verdana"/>
                <w:sz w:val="20"/>
                <w:szCs w:val="20"/>
              </w:rPr>
              <w:t xml:space="preserve">To ensure the safety of the public the Board may propose to put a condition/s on a psychotherapist’s scope of practice.  This condition will require the practitioner’s supervisor to provide the Board with quarterly reports on the practitioner’s progress, and the practitioner </w:t>
            </w:r>
            <w:proofErr w:type="gramStart"/>
            <w:r>
              <w:rPr>
                <w:rFonts w:ascii="Verdana" w:hAnsi="Verdana"/>
                <w:sz w:val="20"/>
                <w:szCs w:val="20"/>
              </w:rPr>
              <w:t>will be expected</w:t>
            </w:r>
            <w:proofErr w:type="gramEnd"/>
            <w:r>
              <w:rPr>
                <w:rFonts w:ascii="Verdana" w:hAnsi="Verdana"/>
                <w:sz w:val="20"/>
                <w:szCs w:val="20"/>
              </w:rPr>
              <w:t xml:space="preserve"> to provide a quarterly report of their number of client hours per week. </w:t>
            </w:r>
          </w:p>
          <w:p w:rsidR="00E86898" w:rsidRDefault="00E86898">
            <w:pPr>
              <w:jc w:val="both"/>
              <w:rPr>
                <w:rFonts w:ascii="Verdana" w:hAnsi="Verdana"/>
                <w:sz w:val="20"/>
                <w:szCs w:val="20"/>
              </w:rPr>
            </w:pPr>
            <w:r>
              <w:rPr>
                <w:rFonts w:ascii="Verdana" w:hAnsi="Verdana"/>
                <w:sz w:val="20"/>
                <w:szCs w:val="20"/>
              </w:rPr>
              <w:t xml:space="preserve">  </w:t>
            </w:r>
          </w:p>
          <w:p w:rsidR="00E86898" w:rsidRDefault="00E86898">
            <w:pPr>
              <w:spacing w:after="120"/>
              <w:ind w:right="317"/>
              <w:jc w:val="both"/>
              <w:rPr>
                <w:rFonts w:ascii="Verdana" w:hAnsi="Verdana"/>
                <w:sz w:val="20"/>
                <w:szCs w:val="20"/>
              </w:rPr>
            </w:pPr>
            <w:r>
              <w:rPr>
                <w:rFonts w:ascii="Verdana" w:hAnsi="Verdana"/>
                <w:sz w:val="20"/>
                <w:szCs w:val="20"/>
              </w:rPr>
              <w:t xml:space="preserve">In addition, this condition will normally require the practitioner to undertake weekly or fortnightly supervision for an allocated </w:t>
            </w:r>
            <w:proofErr w:type="gramStart"/>
            <w:r>
              <w:rPr>
                <w:rFonts w:ascii="Verdana" w:hAnsi="Verdana"/>
                <w:sz w:val="20"/>
                <w:szCs w:val="20"/>
              </w:rPr>
              <w:t>time period</w:t>
            </w:r>
            <w:proofErr w:type="gramEnd"/>
            <w:r>
              <w:rPr>
                <w:rFonts w:ascii="Verdana" w:hAnsi="Verdana"/>
                <w:sz w:val="20"/>
                <w:szCs w:val="20"/>
              </w:rPr>
              <w:t>. Frequency and duration of supervision will relate to the practitioner’s caseload, experience, self-appraisal and remedial plan</w:t>
            </w:r>
            <w:r>
              <w:rPr>
                <w:rFonts w:ascii="Verdana" w:hAnsi="Verdana"/>
                <w:sz w:val="20"/>
                <w:szCs w:val="20"/>
                <w:vertAlign w:val="superscript"/>
              </w:rPr>
              <w:footnoteReference w:id="2"/>
            </w:r>
            <w:r>
              <w:rPr>
                <w:rFonts w:ascii="Verdana" w:hAnsi="Verdana"/>
                <w:sz w:val="20"/>
                <w:szCs w:val="20"/>
              </w:rPr>
              <w:t xml:space="preserve">.  </w:t>
            </w:r>
          </w:p>
          <w:p w:rsidR="00E86898" w:rsidRDefault="00E86898">
            <w:pPr>
              <w:spacing w:after="120"/>
              <w:ind w:right="317"/>
              <w:jc w:val="both"/>
              <w:rPr>
                <w:rFonts w:ascii="Verdana" w:hAnsi="Verdana"/>
                <w:sz w:val="20"/>
                <w:szCs w:val="20"/>
              </w:rPr>
            </w:pPr>
            <w:r>
              <w:rPr>
                <w:rFonts w:ascii="Verdana" w:hAnsi="Verdana"/>
                <w:sz w:val="20"/>
                <w:szCs w:val="20"/>
              </w:rPr>
              <w:t xml:space="preserve">The condition will be removed at the end of the allocated </w:t>
            </w:r>
            <w:proofErr w:type="gramStart"/>
            <w:r>
              <w:rPr>
                <w:rFonts w:ascii="Verdana" w:hAnsi="Verdana"/>
                <w:sz w:val="20"/>
                <w:szCs w:val="20"/>
              </w:rPr>
              <w:t>time period</w:t>
            </w:r>
            <w:proofErr w:type="gramEnd"/>
            <w:r>
              <w:rPr>
                <w:rFonts w:ascii="Verdana" w:hAnsi="Verdana"/>
                <w:sz w:val="20"/>
                <w:szCs w:val="20"/>
              </w:rPr>
              <w:t xml:space="preserve"> or earlier, provided the Board is satisfied with the progress of the practitioner, and concludes that the practitioner is not a risk to public safety.   </w:t>
            </w:r>
          </w:p>
        </w:tc>
      </w:tr>
      <w:tr w:rsidR="00E86898">
        <w:tc>
          <w:tcPr>
            <w:tcW w:w="1600" w:type="dxa"/>
            <w:tcBorders>
              <w:top w:val="single" w:sz="4" w:space="0" w:color="000000"/>
              <w:left w:val="single" w:sz="4" w:space="0" w:color="000000"/>
              <w:bottom w:val="single" w:sz="4" w:space="0" w:color="000000"/>
              <w:right w:val="single" w:sz="4" w:space="0" w:color="000000"/>
            </w:tcBorders>
            <w:hideMark/>
          </w:tcPr>
          <w:p w:rsidR="00E86898" w:rsidRDefault="00E86898">
            <w:pPr>
              <w:rPr>
                <w:rFonts w:ascii="Verdana" w:hAnsi="Verdana"/>
                <w:sz w:val="20"/>
                <w:szCs w:val="20"/>
              </w:rPr>
            </w:pPr>
            <w:r>
              <w:rPr>
                <w:rFonts w:ascii="Verdana" w:hAnsi="Verdana"/>
                <w:b/>
                <w:sz w:val="20"/>
                <w:szCs w:val="20"/>
              </w:rPr>
              <w:t>Competence to practise in the New Zealand context</w:t>
            </w:r>
          </w:p>
        </w:tc>
        <w:tc>
          <w:tcPr>
            <w:tcW w:w="8891" w:type="dxa"/>
            <w:tcBorders>
              <w:top w:val="single" w:sz="4" w:space="0" w:color="000000"/>
              <w:left w:val="single" w:sz="4" w:space="0" w:color="000000"/>
              <w:bottom w:val="single" w:sz="4" w:space="0" w:color="000000"/>
              <w:right w:val="single" w:sz="4" w:space="0" w:color="000000"/>
            </w:tcBorders>
          </w:tcPr>
          <w:p w:rsidR="00E86898" w:rsidRDefault="00E86898">
            <w:pPr>
              <w:pStyle w:val="FootnoteText"/>
              <w:rPr>
                <w:rFonts w:ascii="Verdana" w:hAnsi="Verdana"/>
                <w:sz w:val="20"/>
                <w:szCs w:val="20"/>
              </w:rPr>
            </w:pPr>
            <w:r>
              <w:rPr>
                <w:rFonts w:ascii="Verdana" w:hAnsi="Verdana"/>
              </w:rPr>
              <w:t>Psychotherapists returning to New Zealand should update their knowledge on the following:</w:t>
            </w:r>
          </w:p>
          <w:p w:rsidR="00E86898" w:rsidRDefault="00E86898">
            <w:pPr>
              <w:pStyle w:val="FootnoteText"/>
              <w:numPr>
                <w:ilvl w:val="0"/>
                <w:numId w:val="6"/>
              </w:numPr>
              <w:tabs>
                <w:tab w:val="clear" w:pos="360"/>
                <w:tab w:val="num" w:pos="743"/>
              </w:tabs>
              <w:ind w:left="743" w:hanging="426"/>
              <w:rPr>
                <w:rFonts w:ascii="Verdana" w:hAnsi="Verdana"/>
              </w:rPr>
            </w:pPr>
            <w:proofErr w:type="spellStart"/>
            <w:r>
              <w:rPr>
                <w:rFonts w:ascii="Verdana" w:hAnsi="Verdana"/>
              </w:rPr>
              <w:t>Te</w:t>
            </w:r>
            <w:proofErr w:type="spellEnd"/>
            <w:r>
              <w:rPr>
                <w:rFonts w:ascii="Verdana" w:hAnsi="Verdana"/>
              </w:rPr>
              <w:t xml:space="preserve"> </w:t>
            </w:r>
            <w:proofErr w:type="spellStart"/>
            <w:r>
              <w:rPr>
                <w:rFonts w:ascii="Verdana" w:hAnsi="Verdana"/>
              </w:rPr>
              <w:t>Tiriti</w:t>
            </w:r>
            <w:proofErr w:type="spellEnd"/>
            <w:r>
              <w:rPr>
                <w:rFonts w:ascii="Verdana" w:hAnsi="Verdana"/>
              </w:rPr>
              <w:t xml:space="preserve"> o Waitangi and relevance to psychotherapy practice in bicultural NZ;</w:t>
            </w:r>
          </w:p>
          <w:p w:rsidR="00E86898" w:rsidRDefault="00E86898">
            <w:pPr>
              <w:pStyle w:val="FootnoteText"/>
              <w:numPr>
                <w:ilvl w:val="0"/>
                <w:numId w:val="6"/>
              </w:numPr>
              <w:tabs>
                <w:tab w:val="clear" w:pos="360"/>
                <w:tab w:val="num" w:pos="743"/>
              </w:tabs>
              <w:ind w:left="743" w:hanging="426"/>
              <w:rPr>
                <w:rFonts w:ascii="Verdana" w:hAnsi="Verdana"/>
              </w:rPr>
            </w:pPr>
            <w:r>
              <w:rPr>
                <w:rFonts w:ascii="Verdana" w:hAnsi="Verdana"/>
              </w:rPr>
              <w:t xml:space="preserve">Cultural and social dynamics and safety specifically relevant to bicultural NZ; </w:t>
            </w:r>
          </w:p>
          <w:p w:rsidR="00E86898" w:rsidRDefault="00E86898">
            <w:pPr>
              <w:pStyle w:val="FootnoteText"/>
              <w:numPr>
                <w:ilvl w:val="0"/>
                <w:numId w:val="6"/>
              </w:numPr>
              <w:tabs>
                <w:tab w:val="clear" w:pos="360"/>
                <w:tab w:val="num" w:pos="743"/>
              </w:tabs>
              <w:ind w:left="743" w:hanging="426"/>
              <w:rPr>
                <w:rFonts w:ascii="Verdana" w:hAnsi="Verdana"/>
              </w:rPr>
            </w:pPr>
            <w:r>
              <w:rPr>
                <w:rFonts w:ascii="Verdana" w:hAnsi="Verdana"/>
              </w:rPr>
              <w:t xml:space="preserve">Understanding of the New Zealand health sector and the New Zealand legal system including working with the Accident Compensation Corporation (ACC), Health and Disability Commissioner (HDC) (including the </w:t>
            </w:r>
            <w:r>
              <w:rPr>
                <w:rFonts w:ascii="Verdana" w:hAnsi="Verdana"/>
                <w:bCs/>
              </w:rPr>
              <w:t>HDC Code</w:t>
            </w:r>
            <w:r>
              <w:rPr>
                <w:rFonts w:ascii="Verdana" w:hAnsi="Verdana"/>
              </w:rPr>
              <w:t xml:space="preserve"> of Health and Disability Services Consumers' </w:t>
            </w:r>
            <w:r>
              <w:rPr>
                <w:rFonts w:ascii="Verdana" w:hAnsi="Verdana"/>
                <w:bCs/>
              </w:rPr>
              <w:t>Rights</w:t>
            </w:r>
            <w:r>
              <w:rPr>
                <w:rFonts w:ascii="Verdana" w:hAnsi="Verdana"/>
              </w:rPr>
              <w:t xml:space="preserve"> Regulation), and the Health Practitioners Competence Assurance Act (HPCAA).</w:t>
            </w:r>
          </w:p>
          <w:p w:rsidR="00E86898" w:rsidRDefault="00E86898">
            <w:pPr>
              <w:jc w:val="both"/>
              <w:rPr>
                <w:rFonts w:ascii="Verdana" w:hAnsi="Verdana"/>
                <w:sz w:val="20"/>
                <w:szCs w:val="20"/>
              </w:rPr>
            </w:pPr>
          </w:p>
        </w:tc>
      </w:tr>
    </w:tbl>
    <w:p w:rsidR="00E86898" w:rsidRDefault="00E86898" w:rsidP="00E86898">
      <w:pPr>
        <w:widowControl w:val="0"/>
        <w:tabs>
          <w:tab w:val="left" w:pos="1298"/>
          <w:tab w:val="left" w:pos="1701"/>
        </w:tabs>
        <w:autoSpaceDE w:val="0"/>
        <w:autoSpaceDN w:val="0"/>
        <w:adjustRightInd w:val="0"/>
        <w:rPr>
          <w:rFonts w:ascii="Verdana" w:hAnsi="Verdana"/>
          <w:sz w:val="20"/>
          <w:szCs w:val="20"/>
          <w:lang w:val="en-US"/>
        </w:rPr>
      </w:pPr>
    </w:p>
    <w:p w:rsidR="00E86898" w:rsidRDefault="00E86898" w:rsidP="00E86898">
      <w:pPr>
        <w:ind w:right="46"/>
        <w:rPr>
          <w:rFonts w:ascii="Verdana" w:hAnsi="Verdana"/>
          <w:b/>
          <w:i/>
          <w:iCs/>
          <w:sz w:val="20"/>
          <w:szCs w:val="20"/>
        </w:rPr>
      </w:pPr>
      <w:r>
        <w:rPr>
          <w:rFonts w:ascii="Verdana" w:hAnsi="Verdana"/>
          <w:b/>
          <w:i/>
          <w:iCs/>
          <w:sz w:val="20"/>
          <w:szCs w:val="20"/>
        </w:rPr>
        <w:t xml:space="preserve">Date </w:t>
      </w:r>
      <w:proofErr w:type="gramStart"/>
      <w:r>
        <w:rPr>
          <w:rFonts w:ascii="Verdana" w:hAnsi="Verdana"/>
          <w:b/>
          <w:i/>
          <w:iCs/>
          <w:sz w:val="20"/>
          <w:szCs w:val="20"/>
        </w:rPr>
        <w:t>approved:</w:t>
      </w:r>
      <w:proofErr w:type="gramEnd"/>
      <w:r>
        <w:rPr>
          <w:rFonts w:ascii="Verdana" w:hAnsi="Verdana"/>
          <w:b/>
          <w:i/>
          <w:iCs/>
          <w:sz w:val="20"/>
          <w:szCs w:val="20"/>
        </w:rPr>
        <w:t xml:space="preserve"> December 2014</w:t>
      </w:r>
      <w:r>
        <w:rPr>
          <w:rFonts w:ascii="Verdana" w:hAnsi="Verdana"/>
          <w:b/>
          <w:i/>
          <w:iCs/>
          <w:sz w:val="20"/>
          <w:szCs w:val="20"/>
        </w:rPr>
        <w:tab/>
      </w:r>
    </w:p>
    <w:p w:rsidR="00E86898" w:rsidRDefault="00E86898" w:rsidP="00E86898">
      <w:pPr>
        <w:ind w:right="46"/>
        <w:rPr>
          <w:rFonts w:ascii="Verdana" w:hAnsi="Verdana"/>
          <w:b/>
          <w:i/>
          <w:iCs/>
        </w:rPr>
      </w:pPr>
    </w:p>
    <w:p w:rsidR="00E86898" w:rsidRDefault="00E86898" w:rsidP="00E86898"/>
    <w:p w:rsidR="00E86898" w:rsidRDefault="00E86898" w:rsidP="00E86898">
      <w:pPr>
        <w:pBdr>
          <w:top w:val="single" w:sz="4" w:space="1" w:color="auto"/>
          <w:left w:val="single" w:sz="4" w:space="4" w:color="auto"/>
          <w:bottom w:val="single" w:sz="4" w:space="1" w:color="auto"/>
          <w:right w:val="single" w:sz="4" w:space="4" w:color="auto"/>
        </w:pBdr>
        <w:spacing w:before="240" w:after="60"/>
        <w:jc w:val="both"/>
        <w:outlineLvl w:val="0"/>
        <w:rPr>
          <w:rFonts w:ascii="Verdana" w:hAnsi="Verdana"/>
          <w:b/>
          <w:bCs/>
          <w:kern w:val="28"/>
          <w:sz w:val="19"/>
          <w:szCs w:val="19"/>
        </w:rPr>
      </w:pPr>
      <w:r>
        <w:br w:type="page"/>
      </w:r>
      <w:r>
        <w:rPr>
          <w:rFonts w:ascii="Verdana" w:hAnsi="Verdana"/>
          <w:b/>
          <w:bCs/>
          <w:kern w:val="28"/>
          <w:sz w:val="19"/>
          <w:szCs w:val="19"/>
        </w:rPr>
        <w:lastRenderedPageBreak/>
        <w:t>Return to P</w:t>
      </w:r>
      <w:bookmarkStart w:id="0" w:name="_GoBack"/>
      <w:bookmarkEnd w:id="0"/>
      <w:r>
        <w:rPr>
          <w:rFonts w:ascii="Verdana" w:hAnsi="Verdana"/>
          <w:b/>
          <w:bCs/>
          <w:kern w:val="28"/>
          <w:sz w:val="19"/>
          <w:szCs w:val="19"/>
        </w:rPr>
        <w:t>ractice</w:t>
      </w:r>
    </w:p>
    <w:p w:rsidR="00E86898" w:rsidRDefault="00E86898" w:rsidP="00E86898">
      <w:pPr>
        <w:widowControl w:val="0"/>
        <w:tabs>
          <w:tab w:val="left" w:pos="1298"/>
          <w:tab w:val="left" w:pos="1701"/>
        </w:tabs>
        <w:autoSpaceDE w:val="0"/>
        <w:autoSpaceDN w:val="0"/>
        <w:adjustRightInd w:val="0"/>
        <w:jc w:val="both"/>
        <w:rPr>
          <w:rFonts w:ascii="Verdana" w:hAnsi="Verdana"/>
          <w:sz w:val="19"/>
          <w:szCs w:val="19"/>
          <w:lang w:val="en-US"/>
        </w:rPr>
      </w:pPr>
      <w:r>
        <w:rPr>
          <w:rFonts w:ascii="Verdana" w:hAnsi="Verdana"/>
          <w:sz w:val="19"/>
          <w:szCs w:val="19"/>
          <w:lang w:val="en-US"/>
        </w:rPr>
        <w:t xml:space="preserve">Applicant name:                                                      </w:t>
      </w:r>
      <w:proofErr w:type="spellStart"/>
      <w:r>
        <w:rPr>
          <w:rFonts w:ascii="Verdana" w:hAnsi="Verdana"/>
          <w:sz w:val="19"/>
          <w:szCs w:val="19"/>
          <w:lang w:val="en-US"/>
        </w:rPr>
        <w:t>Reg</w:t>
      </w:r>
      <w:proofErr w:type="spellEnd"/>
      <w:r>
        <w:rPr>
          <w:rFonts w:ascii="Verdana" w:hAnsi="Verdana"/>
          <w:sz w:val="19"/>
          <w:szCs w:val="19"/>
          <w:lang w:val="en-US"/>
        </w:rPr>
        <w:t xml:space="preserve"> No:  </w:t>
      </w:r>
    </w:p>
    <w:p w:rsidR="00E86898" w:rsidRDefault="00E86898" w:rsidP="00E86898">
      <w:pPr>
        <w:widowControl w:val="0"/>
        <w:tabs>
          <w:tab w:val="left" w:pos="1298"/>
          <w:tab w:val="left" w:pos="1701"/>
        </w:tabs>
        <w:autoSpaceDE w:val="0"/>
        <w:autoSpaceDN w:val="0"/>
        <w:adjustRightInd w:val="0"/>
        <w:jc w:val="both"/>
        <w:rPr>
          <w:rFonts w:ascii="Verdana" w:hAnsi="Verdana"/>
          <w:sz w:val="19"/>
          <w:szCs w:val="19"/>
          <w:lang w:val="en-US"/>
        </w:rPr>
      </w:pPr>
    </w:p>
    <w:p w:rsidR="00E86898" w:rsidRDefault="00E86898" w:rsidP="00E86898">
      <w:pPr>
        <w:widowControl w:val="0"/>
        <w:tabs>
          <w:tab w:val="left" w:pos="1298"/>
          <w:tab w:val="left" w:pos="1701"/>
        </w:tabs>
        <w:autoSpaceDE w:val="0"/>
        <w:autoSpaceDN w:val="0"/>
        <w:adjustRightInd w:val="0"/>
        <w:jc w:val="both"/>
        <w:rPr>
          <w:rFonts w:ascii="Verdana" w:hAnsi="Verdana"/>
          <w:sz w:val="19"/>
          <w:szCs w:val="19"/>
          <w:lang w:val="en-US"/>
        </w:rPr>
      </w:pPr>
      <w:r>
        <w:rPr>
          <w:rFonts w:ascii="Verdana" w:hAnsi="Verdana"/>
          <w:sz w:val="19"/>
          <w:szCs w:val="19"/>
          <w:lang w:val="en-US"/>
        </w:rPr>
        <w:t xml:space="preserve">Supervisor name:                                                    </w:t>
      </w:r>
      <w:proofErr w:type="spellStart"/>
      <w:r>
        <w:rPr>
          <w:rFonts w:ascii="Verdana" w:hAnsi="Verdana"/>
          <w:sz w:val="19"/>
          <w:szCs w:val="19"/>
          <w:lang w:val="en-US"/>
        </w:rPr>
        <w:t>Reg</w:t>
      </w:r>
      <w:proofErr w:type="spellEnd"/>
      <w:r>
        <w:rPr>
          <w:rFonts w:ascii="Verdana" w:hAnsi="Verdana"/>
          <w:sz w:val="19"/>
          <w:szCs w:val="19"/>
          <w:lang w:val="en-US"/>
        </w:rPr>
        <w:t xml:space="preserve"> No:</w:t>
      </w:r>
    </w:p>
    <w:p w:rsidR="00E86898" w:rsidRDefault="00E86898" w:rsidP="00E86898">
      <w:pPr>
        <w:widowControl w:val="0"/>
        <w:tabs>
          <w:tab w:val="left" w:pos="1298"/>
          <w:tab w:val="left" w:pos="1701"/>
        </w:tabs>
        <w:autoSpaceDE w:val="0"/>
        <w:autoSpaceDN w:val="0"/>
        <w:adjustRightInd w:val="0"/>
        <w:jc w:val="both"/>
        <w:rPr>
          <w:rFonts w:ascii="Verdana" w:hAnsi="Verdana"/>
          <w:sz w:val="19"/>
          <w:szCs w:val="19"/>
          <w:lang w:val="en-US"/>
        </w:rPr>
      </w:pPr>
    </w:p>
    <w:p w:rsidR="00E86898" w:rsidRDefault="00E86898" w:rsidP="00E86898">
      <w:pPr>
        <w:widowControl w:val="0"/>
        <w:tabs>
          <w:tab w:val="left" w:pos="1298"/>
          <w:tab w:val="left" w:pos="1701"/>
        </w:tabs>
        <w:autoSpaceDE w:val="0"/>
        <w:autoSpaceDN w:val="0"/>
        <w:adjustRightInd w:val="0"/>
        <w:jc w:val="both"/>
        <w:rPr>
          <w:rFonts w:ascii="Verdana" w:hAnsi="Verdana"/>
          <w:sz w:val="19"/>
          <w:szCs w:val="19"/>
          <w:lang w:val="en-US"/>
        </w:rPr>
      </w:pPr>
      <w:r>
        <w:rPr>
          <w:rFonts w:ascii="Verdana" w:hAnsi="Verdana"/>
          <w:sz w:val="19"/>
          <w:szCs w:val="19"/>
          <w:lang w:val="en-US"/>
        </w:rPr>
        <w:t xml:space="preserve">The following checklist has been developed to assist the Board and its Committees in making fair, reasonable and lawful </w:t>
      </w:r>
      <w:proofErr w:type="gramStart"/>
      <w:r>
        <w:rPr>
          <w:rFonts w:ascii="Verdana" w:hAnsi="Verdana"/>
          <w:sz w:val="19"/>
          <w:szCs w:val="19"/>
          <w:lang w:val="en-US"/>
        </w:rPr>
        <w:t>decisions which</w:t>
      </w:r>
      <w:proofErr w:type="gramEnd"/>
      <w:r>
        <w:rPr>
          <w:rFonts w:ascii="Verdana" w:hAnsi="Verdana"/>
          <w:sz w:val="19"/>
          <w:szCs w:val="19"/>
          <w:lang w:val="en-US"/>
        </w:rPr>
        <w:t xml:space="preserve"> are consistent and equitable regarding:</w:t>
      </w:r>
    </w:p>
    <w:p w:rsidR="00E86898" w:rsidRDefault="00E86898" w:rsidP="00E86898">
      <w:pPr>
        <w:widowControl w:val="0"/>
        <w:tabs>
          <w:tab w:val="left" w:pos="1298"/>
          <w:tab w:val="left" w:pos="1701"/>
        </w:tabs>
        <w:autoSpaceDE w:val="0"/>
        <w:autoSpaceDN w:val="0"/>
        <w:adjustRightInd w:val="0"/>
        <w:jc w:val="both"/>
        <w:rPr>
          <w:rFonts w:ascii="Verdana" w:hAnsi="Verdana"/>
          <w:sz w:val="19"/>
          <w:szCs w:val="19"/>
          <w:lang w:val="en-US"/>
        </w:rPr>
      </w:pPr>
    </w:p>
    <w:p w:rsidR="00E86898" w:rsidRPr="00DF2B90" w:rsidRDefault="00E86898" w:rsidP="00E86898">
      <w:pPr>
        <w:numPr>
          <w:ilvl w:val="0"/>
          <w:numId w:val="7"/>
        </w:numPr>
        <w:spacing w:after="120" w:line="276" w:lineRule="auto"/>
        <w:ind w:left="0" w:right="317"/>
        <w:jc w:val="both"/>
        <w:rPr>
          <w:rFonts w:ascii="Verdana" w:eastAsia="Times New Roman" w:hAnsi="Verdana"/>
          <w:b/>
          <w:sz w:val="19"/>
          <w:szCs w:val="19"/>
        </w:rPr>
      </w:pPr>
      <w:r w:rsidRPr="00DF2B90">
        <w:rPr>
          <w:rFonts w:ascii="Verdana" w:hAnsi="Verdana"/>
          <w:b/>
        </w:rPr>
        <w:t>psychotherapists who have not registered as a psychotherapist within 3 years of obtaining their qualification or obtaining an association membership status eligible for registration</w:t>
      </w:r>
    </w:p>
    <w:p w:rsidR="00E86898" w:rsidRDefault="00E86898" w:rsidP="00E86898">
      <w:pPr>
        <w:spacing w:after="120" w:line="276" w:lineRule="auto"/>
        <w:ind w:right="317"/>
        <w:jc w:val="both"/>
        <w:rPr>
          <w:rFonts w:ascii="Verdana" w:eastAsia="Times New Roman" w:hAnsi="Verdana"/>
          <w:sz w:val="19"/>
          <w:szCs w:val="19"/>
        </w:rPr>
      </w:pPr>
      <w:proofErr w:type="gramStart"/>
      <w:r>
        <w:rPr>
          <w:rFonts w:ascii="Verdana" w:eastAsia="Times New Roman" w:hAnsi="Verdana"/>
          <w:sz w:val="19"/>
          <w:szCs w:val="19"/>
          <w:lang w:val="en-US"/>
        </w:rPr>
        <w:t>A</w:t>
      </w:r>
      <w:r>
        <w:rPr>
          <w:rFonts w:ascii="Verdana" w:eastAsia="Times New Roman" w:hAnsi="Verdana"/>
          <w:sz w:val="19"/>
          <w:szCs w:val="19"/>
        </w:rPr>
        <w:t xml:space="preserve"> returning psychotherapist is expected to demonstrate responsibility for ensuring their</w:t>
      </w:r>
      <w:proofErr w:type="gramEnd"/>
      <w:r>
        <w:rPr>
          <w:rFonts w:ascii="Verdana" w:eastAsia="Times New Roman" w:hAnsi="Verdana"/>
          <w:sz w:val="19"/>
          <w:szCs w:val="19"/>
        </w:rPr>
        <w:t xml:space="preserve"> own competence by undertaking to:</w:t>
      </w:r>
    </w:p>
    <w:p w:rsidR="00E86898" w:rsidRDefault="00E86898" w:rsidP="00E86898">
      <w:pPr>
        <w:spacing w:after="240" w:line="276" w:lineRule="auto"/>
        <w:ind w:left="720" w:right="176"/>
        <w:contextualSpacing/>
        <w:jc w:val="both"/>
        <w:rPr>
          <w:rFonts w:ascii="Verdana" w:hAnsi="Verdana"/>
          <w:sz w:val="19"/>
          <w:szCs w:val="19"/>
        </w:rPr>
      </w:pP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-339090</wp:posOffset>
                </wp:positionH>
                <wp:positionV relativeFrom="paragraph">
                  <wp:posOffset>173990</wp:posOffset>
                </wp:positionV>
                <wp:extent cx="209550" cy="209550"/>
                <wp:effectExtent l="13335" t="12065" r="571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10A84" id="Rectangle 6" o:spid="_x0000_s1026" style="position:absolute;margin-left:-26.7pt;margin-top:13.7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8UeHQIAADsEAAAOAAAAZHJzL2Uyb0RvYy54bWysU1Fv0zAQfkfiP1h+p0mrtqxR02nqKEIa&#10;bGLwA1zHaSxsnzm7Tcev5+x0pQOeEHmw7nLnz999d7e8PlrDDgqDBlfz8ajkTDkJjXa7mn/9snlz&#10;xVmIwjXCgFM1f1KBX69ev1r2vlIT6MA0ChmBuFD1vuZdjL4qiiA7ZUUYgVeOgi2gFZFc3BUNip7Q&#10;rSkmZTkvesDGI0gVAv29HYJ8lfHbVsl437ZBRWZqTtxiPjGf23QWq6Wodih8p+WJhvgHFlZoR4+e&#10;oW5FFGyP+g8oqyVCgDaOJNgC2lZLlWugasblb9U8dsKrXAuJE/xZpvD/YOWnwwMy3dR8zpkTllr0&#10;mUQTbmcUmyd5eh8qynr0D5gKDP4O5LfAHKw7ylI3iNB3SjREapzyixcXkhPoKtv2H6EhdLGPkJU6&#10;tmgTIGnAjrkhT+eGqGNkkn5OysVsRm2TFDrZ6QVRPV/2GOJ7BZYlo+ZI1DO4ONyFOKQ+p2TyYHSz&#10;0cZkB3fbtUF2EDQbm/xl/lTjZZpxrK/5YjaZZeQXsXAJUebvbxBWRxpyo23Nr85JokqqvXMN0RRV&#10;FNoMNlVn3EnGpNzQgS00T6QiwjDBtHFkdIA/OOtpemsevu8FKs7MB0edWIyn0zTu2ZnO3k7IwcvI&#10;9jIinCSomkfOBnMdhxXZe9S7jl4a59od3FD3Wp2VTZ0dWJ3I0oTm3py2Ka3ApZ+zfu386icAAAD/&#10;/wMAUEsDBBQABgAIAAAAIQAgNPzg3gAAAAkBAAAPAAAAZHJzL2Rvd25yZXYueG1sTI9BT8MwDIXv&#10;SPyHyEjcuoQOxlbqTgg0JI5bd+HmNqEtNEnVpFvh12NOcHq23tPz53w7216czBg67xBuFgqEcbXX&#10;nWsQjuUuWYMIkZym3juD8GUCbIvLi5wy7c9ub06H2AgucSEjhDbGIZMy1K2xFBZ+MI69dz9airyO&#10;jdQjnbnc9jJVaiUtdY4vtDSYp9bUn4fJIlRdeqTvffmi7Ga3jK9z+TG9PSNeX82PDyCimeNfGH7x&#10;GR0KZqr85HQQPUJyt7zlKEJ6z8qBJFU8VAgrVlnk8v8HxQ8AAAD//wMAUEsBAi0AFAAGAAgAAAAh&#10;ALaDOJL+AAAA4QEAABMAAAAAAAAAAAAAAAAAAAAAAFtDb250ZW50X1R5cGVzXS54bWxQSwECLQAU&#10;AAYACAAAACEAOP0h/9YAAACUAQAACwAAAAAAAAAAAAAAAAAvAQAAX3JlbHMvLnJlbHNQSwECLQAU&#10;AAYACAAAACEAKZ/FHh0CAAA7BAAADgAAAAAAAAAAAAAAAAAuAgAAZHJzL2Uyb0RvYy54bWxQSwEC&#10;LQAUAAYACAAAACEAIDT84N4AAAAJAQAADwAAAAAAAAAAAAAAAAB3BAAAZHJzL2Rvd25yZXYueG1s&#10;UEsFBgAAAAAEAAQA8wAAAIIFAAAAAA==&#10;"/>
            </w:pict>
          </mc:Fallback>
        </mc:AlternateContent>
      </w:r>
      <w:r>
        <w:rPr>
          <w:rFonts w:ascii="Verdana" w:hAnsi="Verdana"/>
          <w:sz w:val="19"/>
          <w:szCs w:val="19"/>
        </w:rPr>
        <w:tab/>
      </w:r>
    </w:p>
    <w:p w:rsidR="00E86898" w:rsidRDefault="00E86898" w:rsidP="00E86898">
      <w:pPr>
        <w:spacing w:after="240" w:line="276" w:lineRule="auto"/>
        <w:ind w:right="176"/>
        <w:contextualSpacing/>
        <w:jc w:val="both"/>
        <w:rPr>
          <w:rFonts w:ascii="Verdana" w:hAnsi="Verdana"/>
          <w:sz w:val="19"/>
          <w:szCs w:val="19"/>
        </w:rPr>
      </w:pPr>
      <w:r>
        <w:rPr>
          <w:rFonts w:ascii="Verdana" w:hAnsi="Verdana"/>
          <w:sz w:val="19"/>
          <w:szCs w:val="19"/>
        </w:rPr>
        <w:t>Engage with a psychotherapist who is an experienced supervisor to supervise their commencement or return to clinical practice. This person must be a fully qualified practitioner registered in either the Psychotherapist Scope of Practice or Psychotherapist Scope of Practice with Child and Adolescent Specialism with a current APC, or a Board approved person</w:t>
      </w:r>
      <w:r>
        <w:rPr>
          <w:rStyle w:val="FootnoteReference"/>
          <w:rFonts w:ascii="Verdana" w:hAnsi="Verdana"/>
          <w:sz w:val="19"/>
          <w:szCs w:val="19"/>
        </w:rPr>
        <w:footnoteReference w:id="3"/>
      </w:r>
      <w:r>
        <w:rPr>
          <w:rFonts w:ascii="Verdana" w:hAnsi="Verdana"/>
          <w:sz w:val="19"/>
          <w:szCs w:val="19"/>
        </w:rPr>
        <w:t xml:space="preserve">.  </w:t>
      </w:r>
    </w:p>
    <w:p w:rsidR="00E86898" w:rsidRDefault="00E86898" w:rsidP="00E86898">
      <w:pPr>
        <w:jc w:val="both"/>
        <w:rPr>
          <w:rFonts w:ascii="Verdana" w:hAnsi="Verdana"/>
          <w:sz w:val="19"/>
          <w:szCs w:val="19"/>
        </w:rPr>
      </w:pP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-339090</wp:posOffset>
                </wp:positionH>
                <wp:positionV relativeFrom="paragraph">
                  <wp:posOffset>197485</wp:posOffset>
                </wp:positionV>
                <wp:extent cx="209550" cy="209550"/>
                <wp:effectExtent l="13335" t="6985" r="5715" b="1206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23E82" id="Rectangle 5" o:spid="_x0000_s1026" style="position:absolute;margin-left:-26.7pt;margin-top:15.5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nB7HAIAADsEAAAOAAAAZHJzL2Uyb0RvYy54bWysU9uO0zAQfUfiHyy/06RVA9uo6WrVpQhp&#10;gRULHzB1nMbCN8Zu0+XrGTvd0gWeEHmwZjLj4zNnZpbXR6PZQWJQzjZ8Oik5k1a4Vtldw79+2by6&#10;4ixEsC1oZ2XDH2Xg16uXL5aDr+XM9U63EhmB2FAPvuF9jL4uiiB6aSBMnJeWgp1DA5Fc3BUtwkDo&#10;RhezsnxdDA5bj07IEOjv7Rjkq4zfdVLET10XZGS64cQt5hPzuU1nsVpCvUPwvRInGvAPLAwoS4+e&#10;oW4hAtuj+gPKKIEuuC5OhDOF6zolZK6BqpmWv1Xz0IOXuRYSJ/izTOH/wYqPh3tkqm14xZkFQy36&#10;TKKB3WnJqiTP4ENNWQ/+HlOBwd858S0w69Y9ZckbRDf0EloiNU35xbMLyQl0lW2HD64ldNhHl5U6&#10;dmgSIGnAjrkhj+eGyGNkgn7OykVVUdsEhU52egHqp8seQ3wnnWHJaDgS9QwOh7sQx9SnlEzeadVu&#10;lNbZwd12rZEdgGZjk7/Mn2q8TNOWDQ1fVLMqIz+LhUuIMn9/gzAq0pBrZRp+dU6COqn21rZEE+oI&#10;So82VaftScak3NiBrWsfSUV04wTTxpHRO/zB2UDT2/DwfQ8oOdPvLXViMZ3P07hnZ169mZGDl5Ht&#10;ZQSsIKiGR85Gcx3HFdl7VLueXprm2q27oe51KiubOjuyOpGlCc29OW1TWoFLP2f92vnVTwAAAP//&#10;AwBQSwMEFAAGAAgAAAAhAONd8QTfAAAACQEAAA8AAABkcnMvZG93bnJldi54bWxMj01PwzAMhu9I&#10;/IfISNy69GNMUJpOCDQkjlt34eY2oS00TtWkW+HXY07jaPvR6+cttosdxMlMvnekIFnFIAw1TvfU&#10;KjhWu+gehA9IGgdHRsG38bAtr68KzLU7096cDqEVHEI+RwVdCGMupW86Y9Gv3GiIbx9ushh4nFqp&#10;JzxzuB1kGscbabEn/tDhaJ4703wdZqug7tMj/uyr19g+7LLwtlSf8/uLUrc3y9MjiGCWcIHhT5/V&#10;oWSn2s2kvRgURHfZmlEFWZKAYCBKY17UCjbrBGRZyP8Nyl8AAAD//wMAUEsBAi0AFAAGAAgAAAAh&#10;ALaDOJL+AAAA4QEAABMAAAAAAAAAAAAAAAAAAAAAAFtDb250ZW50X1R5cGVzXS54bWxQSwECLQAU&#10;AAYACAAAACEAOP0h/9YAAACUAQAACwAAAAAAAAAAAAAAAAAvAQAAX3JlbHMvLnJlbHNQSwECLQAU&#10;AAYACAAAACEAEvZwexwCAAA7BAAADgAAAAAAAAAAAAAAAAAuAgAAZHJzL2Uyb0RvYy54bWxQSwEC&#10;LQAUAAYACAAAACEA413xBN8AAAAJAQAADwAAAAAAAAAAAAAAAAB2BAAAZHJzL2Rvd25yZXYueG1s&#10;UEsFBgAAAAAEAAQA8wAAAIIFAAAAAA==&#10;"/>
            </w:pict>
          </mc:Fallback>
        </mc:AlternateContent>
      </w:r>
    </w:p>
    <w:p w:rsidR="00E86898" w:rsidRDefault="00E86898" w:rsidP="00E86898">
      <w:pPr>
        <w:ind w:right="49"/>
        <w:jc w:val="both"/>
        <w:rPr>
          <w:rFonts w:ascii="Verdana" w:hAnsi="Verdana"/>
          <w:sz w:val="19"/>
          <w:szCs w:val="19"/>
        </w:rPr>
      </w:pPr>
      <w:r>
        <w:rPr>
          <w:rFonts w:ascii="Verdana" w:hAnsi="Verdana"/>
          <w:sz w:val="19"/>
          <w:szCs w:val="19"/>
        </w:rPr>
        <w:t xml:space="preserve">Provide the Board with a self-appraisal that outlines how they have maintained currency of their psychotherapy knowledge.   This self-appraisal should be detailed and provide specific information i.e. courses undertaken, books read etc. The self-appraisal should </w:t>
      </w:r>
      <w:proofErr w:type="gramStart"/>
      <w:r>
        <w:rPr>
          <w:rFonts w:ascii="Verdana" w:hAnsi="Verdana"/>
          <w:sz w:val="19"/>
          <w:szCs w:val="19"/>
        </w:rPr>
        <w:t>be developed</w:t>
      </w:r>
      <w:proofErr w:type="gramEnd"/>
      <w:r>
        <w:rPr>
          <w:rFonts w:ascii="Verdana" w:hAnsi="Verdana"/>
          <w:sz w:val="19"/>
          <w:szCs w:val="19"/>
        </w:rPr>
        <w:t xml:space="preserve"> with the psychotherapist’s clinical supervisor and will be guided by the Psychotherapist Core Clinical Competencies.</w:t>
      </w:r>
    </w:p>
    <w:p w:rsidR="00E86898" w:rsidRDefault="00E86898" w:rsidP="00E86898">
      <w:pPr>
        <w:ind w:left="1080" w:right="-376"/>
        <w:jc w:val="both"/>
        <w:rPr>
          <w:rFonts w:ascii="Verdana" w:hAnsi="Verdana"/>
          <w:sz w:val="19"/>
          <w:szCs w:val="19"/>
        </w:rPr>
      </w:pP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-339090</wp:posOffset>
                </wp:positionH>
                <wp:positionV relativeFrom="paragraph">
                  <wp:posOffset>184785</wp:posOffset>
                </wp:positionV>
                <wp:extent cx="209550" cy="209550"/>
                <wp:effectExtent l="13335" t="13335" r="5715" b="571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DA2F7" id="Rectangle 4" o:spid="_x0000_s1026" style="position:absolute;margin-left:-26.7pt;margin-top:14.5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xYHAIAADsEAAAOAAAAZHJzL2Uyb0RvYy54bWysU1GP0zAMfkfiP0R5Z+2mDW7VutNpxxDS&#10;AScOfkCWpm1EEgcnW3f8epx0N3bAE6IPkV07Xz5/tlfXR2vYQWHQ4Go+nZScKSeh0a6r+dcv21dX&#10;nIUoXCMMOFXzRxX49frli9XgKzWDHkyjkBGIC9Xga97H6KuiCLJXVoQJeOUo2AJaEcnFrmhQDIRu&#10;TTEry9fFANh4BKlCoL+3Y5CvM37bKhk/tW1QkZmaE7eYT8znLp3FeiWqDoXvtTzREP/Awgrt6NEz&#10;1K2Igu1R/wFltUQI0MaJBFtA22qpcg1UzbT8rZqHXniVayFxgj/LFP4frPx4uEemm5rPOXPCUos+&#10;k2jCdUaxeZJn8KGirAd/j6nA4O9AfgvMwaanLHWDCEOvREOkpim/eHYhOYGust3wARpCF/sIWalj&#10;izYBkgbsmBvyeG6IOkYm6eesXC4W1DZJoZOdXhDV02WPIb5TYFkyao5EPYOLw12IY+pTSiYPRjdb&#10;bUx2sNttDLKDoNnY5i/zpxov04xjQ82Xi9kiIz+LhUuIMn9/g7A60pAbbWt+dU4SVVLtrWuIpqii&#10;0Ga0qTrjTjIm5cYO7KB5JBURxgmmjSOjB/zB2UDTW/PwfS9QcWbeO+rEcjqfp3HPznzxZkYOXkZ2&#10;lxHhJEHVPHI2mps4rsjeo+56emmaa3dwQ91rdVY2dXZkdSJLE5p7c9qmtAKXfs76tfPrnwAAAP//&#10;AwBQSwMEFAAGAAgAAAAhAKqQ/NHfAAAACQEAAA8AAABkcnMvZG93bnJldi54bWxMj8FOwzAMhu9I&#10;vENkJG5d0gwm1tWdEGhIHLfuwi1tQtvRJFWTboWnx5zG0fan39+fb2fbs7MZQ+cdQroQwIyrve5c&#10;g3Asd8kTsBCV06r3ziB8mwDb4vYmV5n2F7c350NsGIW4kCmENsYh4zzUrbEqLPxgHN0+/WhVpHFs&#10;uB7VhcJtz6UQK25V5+hDqwbz0pr66zBZhKqTR/WzL9+EXe+W8X0uT9PHK+L93fy8ARbNHK8w/OmT&#10;OhTkVPnJ6cB6hORx+UAoglynwAhIpKBFhbCSKfAi5/8bFL8AAAD//wMAUEsBAi0AFAAGAAgAAAAh&#10;ALaDOJL+AAAA4QEAABMAAAAAAAAAAAAAAAAAAAAAAFtDb250ZW50X1R5cGVzXS54bWxQSwECLQAU&#10;AAYACAAAACEAOP0h/9YAAACUAQAACwAAAAAAAAAAAAAAAAAvAQAAX3JlbHMvLnJlbHNQSwECLQAU&#10;AAYACAAAACEA+y4cWBwCAAA7BAAADgAAAAAAAAAAAAAAAAAuAgAAZHJzL2Uyb0RvYy54bWxQSwEC&#10;LQAUAAYACAAAACEAqpD80d8AAAAJAQAADwAAAAAAAAAAAAAAAAB2BAAAZHJzL2Rvd25yZXYueG1s&#10;UEsFBgAAAAAEAAQA8wAAAIIFAAAAAA==&#10;"/>
            </w:pict>
          </mc:Fallback>
        </mc:AlternateContent>
      </w:r>
    </w:p>
    <w:p w:rsidR="00E86898" w:rsidRDefault="00E86898" w:rsidP="00E86898">
      <w:pPr>
        <w:jc w:val="both"/>
        <w:rPr>
          <w:rFonts w:ascii="Verdana" w:hAnsi="Verdana"/>
          <w:sz w:val="19"/>
          <w:szCs w:val="19"/>
        </w:rPr>
      </w:pPr>
      <w:r>
        <w:rPr>
          <w:rFonts w:ascii="Verdana" w:hAnsi="Verdana"/>
          <w:sz w:val="19"/>
          <w:szCs w:val="19"/>
        </w:rPr>
        <w:t xml:space="preserve">Provide the Board with a remedial plan developed in conjunction with their supervisor that demonstrates how they intend to manage and monitor their return to the practice of psychotherapy. This plan should cover at least the next 12 months and show specifically how the psychotherapist intends to develop their psychotherapy knowledge and skills.  </w:t>
      </w:r>
    </w:p>
    <w:p w:rsidR="00E86898" w:rsidRDefault="00E86898" w:rsidP="00E86898">
      <w:pPr>
        <w:jc w:val="both"/>
        <w:rPr>
          <w:rFonts w:ascii="Verdana" w:hAnsi="Verdana"/>
          <w:sz w:val="19"/>
          <w:szCs w:val="19"/>
        </w:rPr>
      </w:pP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-339090</wp:posOffset>
                </wp:positionH>
                <wp:positionV relativeFrom="paragraph">
                  <wp:posOffset>99060</wp:posOffset>
                </wp:positionV>
                <wp:extent cx="209550" cy="209550"/>
                <wp:effectExtent l="13335" t="13335" r="5715" b="57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2067B" id="Rectangle 3" o:spid="_x0000_s1026" style="position:absolute;margin-left:-26.7pt;margin-top:7.8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BqwHAIAADsEAAAOAAAAZHJzL2Uyb0RvYy54bWysU1GP0zAMfkfiP0R5Z+12G9yqdafTjiGk&#10;A04c/IAsTdeIJA5Otm78epx0N3bAE6IPkV07Xz5/thc3B2vYXmHQ4Go+HpWcKSeh0W5b869f1q+u&#10;OQtRuEYYcKrmRxX4zfLli0XvKzWBDkyjkBGIC1Xva97F6KuiCLJTVoQReOUo2AJaEcnFbdGg6And&#10;mmJSlq+LHrDxCFKFQH/vhiBfZvy2VTJ+atugIjM1J24xn5jPTTqL5UJUWxS+0/JEQ/wDCyu0o0fP&#10;UHciCrZD/QeU1RIhQBtHEmwBbaulyjVQNePyt2oeO+FVroXECf4sU/h/sPLj/gGZbmp+xZkTllr0&#10;mUQTbmsUu0ry9D5UlPXoHzAVGPw9yG+BOVh1lKVuEaHvlGiI1DjlF88uJCfQVbbpP0BD6GIXISt1&#10;aNEmQNKAHXJDjueGqENkkn5OyvlsRm2TFDrZ6QVRPV32GOI7BZYlo+ZI1DO42N+HOKQ+pWTyYHSz&#10;1sZkB7eblUG2FzQb6/xl/lTjZZpxrK/5fDaZZeRnsXAJUebvbxBWRxpyo23Nr89JokqqvXUN0RRV&#10;FNoMNlVn3EnGpNzQgQ00R1IRYZhg2jgyOsAfnPU0vTUP33cCFWfmvaNOzMfTaRr37Exnbybk4GVk&#10;cxkRThJUzSNng7mKw4rsPOptRy+Nc+0Obql7rc7Kps4OrE5kaUJzb07blFbg0s9Zv3Z++RMAAP//&#10;AwBQSwMEFAAGAAgAAAAhAG1ivoveAAAACQEAAA8AAABkcnMvZG93bnJldi54bWxMj8FOg0AQhu8m&#10;vsNmTLzRRdqSSlkao6mJx5ZevA3sFlB2lrBLiz6940mPM/+Xf77Jd7PtxcWMvnOk4GERgzBUO91R&#10;o+BU7qMNCB+QNPaOjIIv42FX3N7kmGl3pYO5HEMjuIR8hgraEIZMSl+3xqJfuMEQZ2c3Wgw8jo3U&#10;I1653PYyieNUWuyIL7Q4mOfW1J/HySqouuSE34fyNbaP+2V4m8uP6f1Fqfu7+WkLIpg5/MHwq8/q&#10;ULBT5SbSXvQKovVyxSgH6xQEA1ES86JSsNqkIItc/v+g+AEAAP//AwBQSwECLQAUAAYACAAAACEA&#10;toM4kv4AAADhAQAAEwAAAAAAAAAAAAAAAAAAAAAAW0NvbnRlbnRfVHlwZXNdLnhtbFBLAQItABQA&#10;BgAIAAAAIQA4/SH/1gAAAJQBAAALAAAAAAAAAAAAAAAAAC8BAABfcmVscy8ucmVsc1BLAQItABQA&#10;BgAIAAAAIQBkJBqwHAIAADsEAAAOAAAAAAAAAAAAAAAAAC4CAABkcnMvZTJvRG9jLnhtbFBLAQIt&#10;ABQABgAIAAAAIQBtYr6L3gAAAAkBAAAPAAAAAAAAAAAAAAAAAHYEAABkcnMvZG93bnJldi54bWxQ&#10;SwUGAAAAAAQABADzAAAAgQUAAAAA&#10;"/>
            </w:pict>
          </mc:Fallback>
        </mc:AlternateContent>
      </w:r>
    </w:p>
    <w:p w:rsidR="00E86898" w:rsidRDefault="00E86898" w:rsidP="00E86898">
      <w:pPr>
        <w:jc w:val="both"/>
        <w:rPr>
          <w:rFonts w:ascii="Verdana" w:hAnsi="Verdana"/>
          <w:sz w:val="19"/>
          <w:szCs w:val="19"/>
        </w:rPr>
      </w:pPr>
      <w:r>
        <w:rPr>
          <w:rFonts w:ascii="Verdana" w:hAnsi="Verdana"/>
          <w:sz w:val="19"/>
          <w:szCs w:val="19"/>
        </w:rPr>
        <w:t>APC application with appropriate fee.</w:t>
      </w:r>
    </w:p>
    <w:p w:rsidR="00E86898" w:rsidRDefault="00E86898" w:rsidP="00E86898">
      <w:pPr>
        <w:jc w:val="both"/>
        <w:rPr>
          <w:rFonts w:ascii="Verdana" w:hAnsi="Verdana"/>
          <w:sz w:val="19"/>
          <w:szCs w:val="19"/>
        </w:rPr>
      </w:pP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-339090</wp:posOffset>
                </wp:positionH>
                <wp:positionV relativeFrom="paragraph">
                  <wp:posOffset>116205</wp:posOffset>
                </wp:positionV>
                <wp:extent cx="209550" cy="209550"/>
                <wp:effectExtent l="13335" t="11430" r="5715" b="76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E70F0" id="Rectangle 2" o:spid="_x0000_s1026" style="position:absolute;margin-left:-26.7pt;margin-top:9.1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THAIAADsEAAAOAAAAZHJzL2Uyb0RvYy54bWysU1GP0zAMfkfiP0R5Z+2qDW7VutNpxxDS&#10;AScOfkCWpmtEEgcnW3f8epx0N3bAE6IPkV07Xz5/tpfXR2vYQWHQ4Bo+nZScKSeh1W7X8K9fNq+u&#10;OAtRuFYYcKrhjyrw69XLF8vB16qCHkyrkBGIC/XgG97H6OuiCLJXVoQJeOUo2AFaEcnFXdGiGAjd&#10;mqIqy9fFANh6BKlCoL+3Y5CvMn7XKRk/dV1QkZmGE7eYT8znNp3FainqHQrfa3miIf6BhRXa0aNn&#10;qFsRBduj/gPKaokQoIsTCbaArtNS5Rqommn5WzUPvfAq10LiBH+WKfw/WPnxcI9Mtw2vOHPCUos+&#10;k2jC7YxiVZJn8KGmrAd/j6nA4O9AfgvMwbqnLHWDCEOvREukpim/eHYhOYGusu3wAVpCF/sIWalj&#10;hzYBkgbsmBvyeG6IOkYm6WdVLuZzapuk0MlOL4j66bLHEN8psCwZDUeinsHF4S7EMfUpJZMHo9uN&#10;NiY7uNuuDbKDoNnY5C/zpxov04xjQ8MX82qekZ/FwiVEmb+/QVgdaciNtg2/OieJOqn21rVEU9RR&#10;aDPaVJ1xJxmTcmMHttA+kooI4wTTxpHRA/7gbKDpbXj4vheoODPvHXViMZ3N0rhnZzZ/U5GDl5Ht&#10;ZUQ4SVANj5yN5jqOK7L3qHc9vTTNtTu4oe51OiubOjuyOpGlCc29OW1TWoFLP2f92vnVTwAAAP//&#10;AwBQSwMEFAAGAAgAAAAhAGHhd03eAAAACQEAAA8AAABkcnMvZG93bnJldi54bWxMj8FOg0AQhu8m&#10;vsNmTLzR3YI1lbI0RlMTjy29eFtgBCo7S9ilRZ/e8WSPM/+Xf77JtrPtxRlH3znSsFwoEEiVqztq&#10;NByLXbQG4YOh2vSOUMM3etjmtzeZSWt3oT2eD6ERXEI+NRraEIZUSl+1aI1fuAGJs083WhN4HBtZ&#10;j+bC5baXsVKP0pqO+EJrBnxpsfo6TFZD2cVH87Mv3pR92iXhfS5O08er1vd38/MGRMA5/MPwp8/q&#10;kLNT6Saqveg1RKvkgVEO1gkIBqJY8aLUsFomIPNMXn+Q/wIAAP//AwBQSwECLQAUAAYACAAAACEA&#10;toM4kv4AAADhAQAAEwAAAAAAAAAAAAAAAAAAAAAAW0NvbnRlbnRfVHlwZXNdLnhtbFBLAQItABQA&#10;BgAIAAAAIQA4/SH/1gAAAJQBAAALAAAAAAAAAAAAAAAAAC8BAABfcmVscy8ucmVsc1BLAQItABQA&#10;BgAIAAAAIQCN/HaTHAIAADsEAAAOAAAAAAAAAAAAAAAAAC4CAABkcnMvZTJvRG9jLnhtbFBLAQIt&#10;ABQABgAIAAAAIQBh4XdN3gAAAAkBAAAPAAAAAAAAAAAAAAAAAHYEAABkcnMvZG93bnJldi54bWxQ&#10;SwUGAAAAAAQABADzAAAAgQUAAAAA&#10;"/>
            </w:pict>
          </mc:Fallback>
        </mc:AlternateContent>
      </w:r>
    </w:p>
    <w:p w:rsidR="00E86898" w:rsidRDefault="00E86898" w:rsidP="00E86898">
      <w:pPr>
        <w:jc w:val="both"/>
        <w:rPr>
          <w:rFonts w:ascii="Verdana" w:hAnsi="Verdana"/>
          <w:sz w:val="19"/>
          <w:szCs w:val="19"/>
        </w:rPr>
      </w:pPr>
      <w:r>
        <w:rPr>
          <w:rFonts w:ascii="Verdana" w:hAnsi="Verdana"/>
          <w:sz w:val="19"/>
          <w:szCs w:val="19"/>
        </w:rPr>
        <w:t>Letter/s of Good Standing and CV (if required)</w:t>
      </w:r>
    </w:p>
    <w:p w:rsidR="00E86898" w:rsidRDefault="00E86898" w:rsidP="00E86898">
      <w:pPr>
        <w:ind w:firstLine="426"/>
        <w:jc w:val="both"/>
        <w:rPr>
          <w:rFonts w:ascii="Verdana" w:hAnsi="Verdana"/>
          <w:sz w:val="19"/>
          <w:szCs w:val="19"/>
        </w:rPr>
      </w:pP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-339090</wp:posOffset>
                </wp:positionH>
                <wp:positionV relativeFrom="paragraph">
                  <wp:posOffset>148590</wp:posOffset>
                </wp:positionV>
                <wp:extent cx="209550" cy="209550"/>
                <wp:effectExtent l="13335" t="5715" r="5715" b="133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A53222" id="Rectangle 1" o:spid="_x0000_s1026" style="position:absolute;margin-left:-26.7pt;margin-top:11.7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P2GwIAADsEAAAOAAAAZHJzL2Uyb0RvYy54bWysU1GP0zAMfkfiP0R5Z+2mDW7VutNpxxDS&#10;AScOfoCXpmtEGgcnWzd+PW66jR3whOhDZNfOl8+f7cXtobVirykYdKUcj3IptFNYGbct5dcv61c3&#10;UoQIrgKLTpfyqIO8Xb58seh8oSfYoK00CQZxoeh8KZsYfZFlQTW6hTBCrx0Ha6QWIru0zSqCjtFb&#10;m03y/HXWIVWeUOkQ+O/9EJTLhF/XWsVPdR10FLaUzC2mk9K56c9suYBiS+Abo0404B9YtGAcP3qB&#10;uocIYkfmD6jWKMKAdRwpbDOsa6N0qoGrGee/VfPUgNepFhYn+ItM4f/Bqo/7RxKm4t5J4aDlFn1m&#10;0cBtrRbjXp7Oh4Kznvwj9QUG/4DqWxAOVw1n6Tsi7BoNFZNK+dmzC70T+KrYdB+wYnTYRUxKHWpq&#10;e0DWQBxSQ46XhuhDFIp/TvL5bMZtUxw62cwog+J82VOI7zS2ojdKSUw9gcP+IcQh9ZySyKM11dpY&#10;mxzablaWxB54Ntbp6+tl9HCdZp3oSjmfTWYJ+VksXEPk6fsbRGsiD7k1bSlvLklQ9Kq9dRW/CUUE&#10;Yweb37eOaZyVGzqwwerIKhIOE8wbx0aD9EOKjqe3lOH7DkhLYd877sR8PJ32456c6ezNhB26jmyu&#10;I+AUQ5UySjGYqzisyM6T2Tb80jjV7vCOu1ebpGzPb2B1IssTmtQ7bVO/Atd+yvq188ufAAAA//8D&#10;AFBLAwQUAAYACAAAACEAqX2Scd4AAAAJAQAADwAAAGRycy9kb3ducmV2LnhtbEyPTU/DMAyG70j8&#10;h8hI3LqE7kNQ6k4INCSOW3fh5jahLTRJ1aRb4dfjneBkW370+nG+nW0vTmYMnXcIdwsFwrja6841&#10;CMdyl9yDCJGcpt47g/BtAmyL66ucMu3Pbm9Oh9gIDnEhI4Q2xiGTMtStsRQWfjCOdx9+tBR5HBup&#10;RzpzuO1lqtRGWuocX2hpMM+tqb8Ok0WouvRIP/vyVdmH3TK+zeXn9P6CeHszPz2CiGaOfzBc9Fkd&#10;Cnaq/OR0ED1Csl6uGEVIL5WBJFXcVAjrzQpkkcv/HxS/AAAA//8DAFBLAQItABQABgAIAAAAIQC2&#10;gziS/gAAAOEBAAATAAAAAAAAAAAAAAAAAAAAAABbQ29udGVudF9UeXBlc10ueG1sUEsBAi0AFAAG&#10;AAgAAAAhADj9If/WAAAAlAEAAAsAAAAAAAAAAAAAAAAALwEAAF9yZWxzLy5yZWxzUEsBAi0AFAAG&#10;AAgAAAAhALaVw/YbAgAAOwQAAA4AAAAAAAAAAAAAAAAALgIAAGRycy9lMm9Eb2MueG1sUEsBAi0A&#10;FAAGAAgAAAAhAKl9knHeAAAACQEAAA8AAAAAAAAAAAAAAAAAdQQAAGRycy9kb3ducmV2LnhtbFBL&#10;BQYAAAAABAAEAPMAAACABQAAAAA=&#10;"/>
            </w:pict>
          </mc:Fallback>
        </mc:AlternateContent>
      </w:r>
    </w:p>
    <w:p w:rsidR="00E86898" w:rsidRDefault="00E86898" w:rsidP="00E86898">
      <w:pPr>
        <w:jc w:val="both"/>
        <w:rPr>
          <w:rFonts w:ascii="Verdana" w:hAnsi="Verdana"/>
          <w:sz w:val="19"/>
          <w:szCs w:val="19"/>
        </w:rPr>
      </w:pPr>
      <w:r>
        <w:rPr>
          <w:rFonts w:ascii="Verdana" w:hAnsi="Verdana"/>
          <w:sz w:val="19"/>
          <w:szCs w:val="19"/>
        </w:rPr>
        <w:t>Completed checklist.</w:t>
      </w:r>
    </w:p>
    <w:p w:rsidR="00E86898" w:rsidRDefault="00E86898" w:rsidP="00E86898">
      <w:pPr>
        <w:jc w:val="both"/>
        <w:rPr>
          <w:rFonts w:ascii="Verdana" w:hAnsi="Verdana"/>
          <w:sz w:val="19"/>
          <w:szCs w:val="19"/>
        </w:rPr>
      </w:pPr>
    </w:p>
    <w:p w:rsidR="00E86898" w:rsidRDefault="00E86898" w:rsidP="00E86898">
      <w:pPr>
        <w:jc w:val="both"/>
        <w:rPr>
          <w:rFonts w:ascii="Verdana" w:hAnsi="Verdana"/>
          <w:b/>
          <w:sz w:val="19"/>
          <w:szCs w:val="19"/>
        </w:rPr>
      </w:pPr>
      <w:r>
        <w:rPr>
          <w:rFonts w:ascii="Verdana" w:hAnsi="Verdana"/>
          <w:b/>
          <w:sz w:val="19"/>
          <w:szCs w:val="19"/>
        </w:rPr>
        <w:t>Supervisor declaration:</w:t>
      </w:r>
    </w:p>
    <w:p w:rsidR="00E86898" w:rsidRDefault="00E86898" w:rsidP="00E86898">
      <w:pPr>
        <w:jc w:val="both"/>
        <w:rPr>
          <w:rFonts w:ascii="Verdana" w:hAnsi="Verdana"/>
          <w:sz w:val="19"/>
          <w:szCs w:val="19"/>
        </w:rPr>
      </w:pPr>
    </w:p>
    <w:p w:rsidR="00E86898" w:rsidRDefault="00E86898" w:rsidP="00E86898">
      <w:pPr>
        <w:jc w:val="both"/>
        <w:rPr>
          <w:rFonts w:ascii="Verdana" w:hAnsi="Verdana"/>
          <w:sz w:val="19"/>
          <w:szCs w:val="19"/>
        </w:rPr>
      </w:pPr>
      <w:r>
        <w:rPr>
          <w:rFonts w:ascii="Verdana" w:hAnsi="Verdana"/>
          <w:sz w:val="19"/>
          <w:szCs w:val="19"/>
        </w:rPr>
        <w:t>I (supervisor) ______________________ support (applicant) ____________________ with their return to practise plan.  I can confirm that I have worked in conjunction with the applicant to develop this plan and provided input where necessary.</w:t>
      </w:r>
    </w:p>
    <w:p w:rsidR="00E86898" w:rsidRDefault="00E86898" w:rsidP="00E86898">
      <w:pPr>
        <w:jc w:val="both"/>
        <w:rPr>
          <w:rFonts w:ascii="Verdana" w:hAnsi="Verdana"/>
          <w:sz w:val="19"/>
          <w:szCs w:val="19"/>
        </w:rPr>
      </w:pPr>
    </w:p>
    <w:p w:rsidR="00E86898" w:rsidRDefault="00E86898" w:rsidP="00E86898">
      <w:pPr>
        <w:jc w:val="both"/>
        <w:rPr>
          <w:rFonts w:ascii="Verdana" w:hAnsi="Verdana"/>
        </w:rPr>
      </w:pPr>
      <w:r>
        <w:rPr>
          <w:rFonts w:ascii="Verdana" w:hAnsi="Verdana"/>
          <w:sz w:val="19"/>
          <w:szCs w:val="19"/>
        </w:rPr>
        <w:t xml:space="preserve">Signature:  _________________________   Date:  ___________ </w:t>
      </w:r>
    </w:p>
    <w:p w:rsidR="00E86898" w:rsidRDefault="00E86898" w:rsidP="00E86898">
      <w:pPr>
        <w:spacing w:after="200" w:line="276" w:lineRule="auto"/>
        <w:rPr>
          <w:rFonts w:ascii="Verdana" w:eastAsia="Calibri" w:hAnsi="Verdana"/>
          <w:sz w:val="20"/>
          <w:szCs w:val="20"/>
          <w:lang w:eastAsia="en-US"/>
        </w:rPr>
      </w:pPr>
    </w:p>
    <w:p w:rsidR="00E86898" w:rsidRDefault="00E86898" w:rsidP="00E86898">
      <w:pPr>
        <w:spacing w:after="200" w:line="276" w:lineRule="auto"/>
        <w:rPr>
          <w:rFonts w:ascii="Verdana" w:eastAsia="Calibri" w:hAnsi="Verdana"/>
          <w:sz w:val="20"/>
          <w:szCs w:val="20"/>
          <w:lang w:eastAsia="en-US"/>
        </w:rPr>
      </w:pPr>
    </w:p>
    <w:sectPr w:rsidR="00E86898" w:rsidSect="005C1185">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898" w:rsidRDefault="00E86898" w:rsidP="00E86898">
      <w:r>
        <w:separator/>
      </w:r>
    </w:p>
  </w:endnote>
  <w:endnote w:type="continuationSeparator" w:id="0">
    <w:p w:rsidR="00E86898" w:rsidRDefault="00E86898" w:rsidP="00E86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898" w:rsidRDefault="00E86898" w:rsidP="00E86898">
      <w:r>
        <w:separator/>
      </w:r>
    </w:p>
  </w:footnote>
  <w:footnote w:type="continuationSeparator" w:id="0">
    <w:p w:rsidR="00E86898" w:rsidRDefault="00E86898" w:rsidP="00E86898">
      <w:r>
        <w:continuationSeparator/>
      </w:r>
    </w:p>
  </w:footnote>
  <w:footnote w:id="1">
    <w:p w:rsidR="00E86898" w:rsidRDefault="00E86898" w:rsidP="00E86898">
      <w:pPr>
        <w:pStyle w:val="FootnoteText"/>
        <w:rPr>
          <w:rFonts w:ascii="Verdana" w:hAnsi="Verdana"/>
          <w:sz w:val="20"/>
          <w:szCs w:val="20"/>
          <w:lang w:val="en-NZ"/>
        </w:rPr>
      </w:pPr>
      <w:r>
        <w:rPr>
          <w:rStyle w:val="FootnoteReference"/>
          <w:rFonts w:ascii="Verdana" w:hAnsi="Verdana"/>
        </w:rPr>
        <w:footnoteRef/>
      </w:r>
      <w:r>
        <w:rPr>
          <w:rFonts w:ascii="Verdana" w:hAnsi="Verdana"/>
        </w:rPr>
        <w:t xml:space="preserve"> </w:t>
      </w:r>
      <w:r>
        <w:rPr>
          <w:rFonts w:ascii="Verdana" w:hAnsi="Verdana"/>
          <w:lang w:val="en-NZ"/>
        </w:rPr>
        <w:t xml:space="preserve">See the Board’s supervision policy </w:t>
      </w:r>
    </w:p>
  </w:footnote>
  <w:footnote w:id="2">
    <w:p w:rsidR="00E86898" w:rsidRDefault="00E86898" w:rsidP="00E86898">
      <w:pPr>
        <w:jc w:val="both"/>
        <w:rPr>
          <w:rFonts w:ascii="Verdana" w:hAnsi="Verdana"/>
          <w:sz w:val="16"/>
          <w:szCs w:val="16"/>
        </w:rPr>
      </w:pPr>
      <w:r>
        <w:rPr>
          <w:rStyle w:val="FootnoteReference"/>
          <w:rFonts w:ascii="Verdana" w:hAnsi="Verdana"/>
        </w:rPr>
        <w:footnoteRef/>
      </w:r>
      <w:r>
        <w:rPr>
          <w:rFonts w:ascii="Verdana" w:hAnsi="Verdana"/>
        </w:rPr>
        <w:t xml:space="preserve"> </w:t>
      </w:r>
      <w:r>
        <w:rPr>
          <w:rFonts w:ascii="Verdana" w:hAnsi="Verdana"/>
          <w:sz w:val="16"/>
          <w:szCs w:val="16"/>
        </w:rPr>
        <w:t xml:space="preserve">These conditions </w:t>
      </w:r>
      <w:proofErr w:type="gramStart"/>
      <w:r>
        <w:rPr>
          <w:rFonts w:ascii="Verdana" w:hAnsi="Verdana"/>
          <w:sz w:val="16"/>
          <w:szCs w:val="16"/>
        </w:rPr>
        <w:t>may be varied</w:t>
      </w:r>
      <w:proofErr w:type="gramEnd"/>
      <w:r>
        <w:rPr>
          <w:rFonts w:ascii="Verdana" w:hAnsi="Verdana"/>
          <w:sz w:val="16"/>
          <w:szCs w:val="16"/>
        </w:rPr>
        <w:t xml:space="preserve"> in accordance with the guidelines in this policy and with the approval of the Board.</w:t>
      </w:r>
    </w:p>
  </w:footnote>
  <w:footnote w:id="3">
    <w:p w:rsidR="00E86898" w:rsidRDefault="00E86898" w:rsidP="00E86898">
      <w:pPr>
        <w:pStyle w:val="FootnoteText"/>
        <w:rPr>
          <w:rFonts w:ascii="Verdana" w:hAnsi="Verdana"/>
          <w:sz w:val="16"/>
          <w:szCs w:val="16"/>
          <w:lang w:val="en-NZ"/>
        </w:rPr>
      </w:pPr>
      <w:r>
        <w:rPr>
          <w:rStyle w:val="FootnoteReference"/>
          <w:rFonts w:ascii="Verdana" w:hAnsi="Verdana"/>
          <w:sz w:val="16"/>
          <w:szCs w:val="16"/>
        </w:rPr>
        <w:footnoteRef/>
      </w:r>
      <w:r>
        <w:rPr>
          <w:rFonts w:ascii="Verdana" w:hAnsi="Verdana"/>
          <w:sz w:val="16"/>
          <w:szCs w:val="16"/>
        </w:rPr>
        <w:t xml:space="preserve"> </w:t>
      </w:r>
      <w:r>
        <w:rPr>
          <w:rFonts w:ascii="Verdana" w:hAnsi="Verdana"/>
          <w:sz w:val="16"/>
          <w:szCs w:val="16"/>
          <w:lang w:val="en-NZ"/>
        </w:rPr>
        <w:t>See the Board’s supervision policy</w:t>
      </w:r>
    </w:p>
    <w:p w:rsidR="00E86898" w:rsidRDefault="00E86898" w:rsidP="00E86898">
      <w:pPr>
        <w:pStyle w:val="FootnoteText"/>
        <w:rPr>
          <w:rFonts w:ascii="Verdana" w:hAnsi="Verdana"/>
          <w:sz w:val="20"/>
          <w:szCs w:val="20"/>
          <w:lang w:val="en-NZ"/>
        </w:rPr>
      </w:pPr>
    </w:p>
    <w:p w:rsidR="00E86898" w:rsidRDefault="00E86898" w:rsidP="00E86898">
      <w:pPr>
        <w:pStyle w:val="FootnoteText"/>
        <w:rPr>
          <w:lang w:val="en-NZ"/>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29C7"/>
    <w:multiLevelType w:val="hybridMultilevel"/>
    <w:tmpl w:val="3738B0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 w15:restartNumberingAfterBreak="0">
    <w:nsid w:val="312F2550"/>
    <w:multiLevelType w:val="hybridMultilevel"/>
    <w:tmpl w:val="52A87FA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 w15:restartNumberingAfterBreak="0">
    <w:nsid w:val="359B473A"/>
    <w:multiLevelType w:val="hybridMultilevel"/>
    <w:tmpl w:val="ACD4E21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 w15:restartNumberingAfterBreak="0">
    <w:nsid w:val="445E0240"/>
    <w:multiLevelType w:val="hybridMultilevel"/>
    <w:tmpl w:val="EBDCD61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44FF32D4"/>
    <w:multiLevelType w:val="hybridMultilevel"/>
    <w:tmpl w:val="4258A1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15:restartNumberingAfterBreak="0">
    <w:nsid w:val="64FD1853"/>
    <w:multiLevelType w:val="hybridMultilevel"/>
    <w:tmpl w:val="CF7662B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8CB626E"/>
    <w:multiLevelType w:val="hybridMultilevel"/>
    <w:tmpl w:val="B184B9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898"/>
    <w:rsid w:val="005C1185"/>
    <w:rsid w:val="00AF49B6"/>
    <w:rsid w:val="00DF2B90"/>
    <w:rsid w:val="00E8689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73F25299-CCA0-43AB-8576-75DDBDC43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898"/>
    <w:pPr>
      <w:spacing w:after="0" w:line="240" w:lineRule="auto"/>
    </w:pPr>
    <w:rPr>
      <w:rFonts w:ascii="Arial" w:eastAsia="MS Mincho" w:hAnsi="Arial" w:cs="Times New Roman"/>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t Char,Used by Word for text of Help footnotes Char"/>
    <w:basedOn w:val="DefaultParagraphFont"/>
    <w:link w:val="FootnoteText"/>
    <w:uiPriority w:val="99"/>
    <w:semiHidden/>
    <w:locked/>
    <w:rsid w:val="00E86898"/>
    <w:rPr>
      <w:rFonts w:ascii="Arial" w:eastAsia="Times New Roman" w:hAnsi="Arial" w:cs="Arial"/>
      <w:lang w:val="en-US"/>
    </w:rPr>
  </w:style>
  <w:style w:type="paragraph" w:styleId="FootnoteText">
    <w:name w:val="footnote text"/>
    <w:aliases w:val="ft,Used by Word for text of Help footnotes"/>
    <w:basedOn w:val="Normal"/>
    <w:link w:val="FootnoteTextChar"/>
    <w:uiPriority w:val="99"/>
    <w:semiHidden/>
    <w:unhideWhenUsed/>
    <w:rsid w:val="00E86898"/>
    <w:pPr>
      <w:jc w:val="both"/>
    </w:pPr>
    <w:rPr>
      <w:rFonts w:eastAsia="Times New Roman" w:cs="Arial"/>
      <w:szCs w:val="22"/>
      <w:lang w:val="en-US" w:eastAsia="en-US"/>
    </w:rPr>
  </w:style>
  <w:style w:type="character" w:customStyle="1" w:styleId="FootnoteTextChar1">
    <w:name w:val="Footnote Text Char1"/>
    <w:basedOn w:val="DefaultParagraphFont"/>
    <w:uiPriority w:val="99"/>
    <w:semiHidden/>
    <w:rsid w:val="00E86898"/>
    <w:rPr>
      <w:rFonts w:ascii="Arial" w:eastAsia="MS Mincho" w:hAnsi="Arial" w:cs="Times New Roman"/>
      <w:sz w:val="20"/>
      <w:szCs w:val="20"/>
      <w:lang w:eastAsia="ja-JP"/>
    </w:rPr>
  </w:style>
  <w:style w:type="paragraph" w:styleId="Title">
    <w:name w:val="Title"/>
    <w:basedOn w:val="Normal"/>
    <w:next w:val="Normal"/>
    <w:link w:val="TitleChar1"/>
    <w:qFormat/>
    <w:rsid w:val="00E86898"/>
    <w:pPr>
      <w:spacing w:before="240" w:after="60"/>
      <w:outlineLvl w:val="0"/>
    </w:pPr>
    <w:rPr>
      <w:rFonts w:eastAsia="Times New Roman"/>
      <w:b/>
      <w:bCs/>
      <w:kern w:val="28"/>
      <w:sz w:val="20"/>
      <w:szCs w:val="32"/>
    </w:rPr>
  </w:style>
  <w:style w:type="character" w:customStyle="1" w:styleId="TitleChar">
    <w:name w:val="Title Char"/>
    <w:basedOn w:val="DefaultParagraphFont"/>
    <w:uiPriority w:val="10"/>
    <w:rsid w:val="00E86898"/>
    <w:rPr>
      <w:rFonts w:asciiTheme="majorHAnsi" w:eastAsiaTheme="majorEastAsia" w:hAnsiTheme="majorHAnsi" w:cstheme="majorBidi"/>
      <w:spacing w:val="-10"/>
      <w:kern w:val="28"/>
      <w:sz w:val="56"/>
      <w:szCs w:val="56"/>
      <w:lang w:eastAsia="ja-JP"/>
    </w:rPr>
  </w:style>
  <w:style w:type="character" w:styleId="FootnoteReference">
    <w:name w:val="footnote reference"/>
    <w:aliases w:val="fr,Used by Word for Help footnote symbols"/>
    <w:uiPriority w:val="99"/>
    <w:semiHidden/>
    <w:unhideWhenUsed/>
    <w:rsid w:val="00E86898"/>
    <w:rPr>
      <w:vertAlign w:val="superscript"/>
    </w:rPr>
  </w:style>
  <w:style w:type="character" w:customStyle="1" w:styleId="TitleChar1">
    <w:name w:val="Title Char1"/>
    <w:link w:val="Title"/>
    <w:locked/>
    <w:rsid w:val="00E86898"/>
    <w:rPr>
      <w:rFonts w:ascii="Arial" w:eastAsia="Times New Roman" w:hAnsi="Arial" w:cs="Times New Roman"/>
      <w:b/>
      <w:bCs/>
      <w:kern w:val="28"/>
      <w:sz w:val="20"/>
      <w:szCs w:val="32"/>
      <w:lang w:eastAsia="ja-JP"/>
    </w:rPr>
  </w:style>
  <w:style w:type="paragraph" w:styleId="BalloonText">
    <w:name w:val="Balloon Text"/>
    <w:basedOn w:val="Normal"/>
    <w:link w:val="BalloonTextChar"/>
    <w:uiPriority w:val="99"/>
    <w:semiHidden/>
    <w:unhideWhenUsed/>
    <w:rsid w:val="00DF2B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B90"/>
    <w:rPr>
      <w:rFonts w:ascii="Segoe UI" w:eastAsia="MS Mincho"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1101</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Petro</dc:creator>
  <cp:keywords/>
  <dc:description/>
  <cp:lastModifiedBy>Eva Petro</cp:lastModifiedBy>
  <cp:revision>2</cp:revision>
  <cp:lastPrinted>2017-11-14T22:11:00Z</cp:lastPrinted>
  <dcterms:created xsi:type="dcterms:W3CDTF">2017-11-14T22:09:00Z</dcterms:created>
  <dcterms:modified xsi:type="dcterms:W3CDTF">2017-11-14T22:11:00Z</dcterms:modified>
</cp:coreProperties>
</file>