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C53" w:rsidRDefault="00B40C53" w:rsidP="00B40C53">
      <w:pPr>
        <w:jc w:val="center"/>
        <w:rPr>
          <w:rFonts w:ascii="Verdana" w:eastAsia="Times New Roman" w:hAnsi="Verdana"/>
          <w:sz w:val="20"/>
          <w:szCs w:val="20"/>
          <w:lang w:val="en-AU" w:eastAsia="en-US"/>
        </w:rPr>
      </w:pPr>
    </w:p>
    <w:p w:rsidR="00B40C53" w:rsidRDefault="00B40C53" w:rsidP="00B40C53">
      <w:pPr>
        <w:keepNext/>
        <w:keepLines/>
        <w:outlineLvl w:val="2"/>
        <w:rPr>
          <w:rFonts w:ascii="Verdana" w:eastAsia="Times New Roman" w:hAnsi="Verdana"/>
          <w:b/>
          <w:bCs/>
          <w:kern w:val="28"/>
          <w:sz w:val="20"/>
          <w:szCs w:val="20"/>
        </w:rPr>
      </w:pPr>
      <w:bookmarkStart w:id="0" w:name="_Toc348509441"/>
      <w:bookmarkStart w:id="1" w:name="_Toc296949037"/>
      <w:bookmarkStart w:id="2" w:name="_Toc303769456"/>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7229"/>
      </w:tblGrid>
      <w:tr w:rsidR="00B40C53">
        <w:tc>
          <w:tcPr>
            <w:tcW w:w="9351" w:type="dxa"/>
            <w:gridSpan w:val="2"/>
            <w:tcBorders>
              <w:top w:val="single" w:sz="4" w:space="0" w:color="auto"/>
              <w:left w:val="single" w:sz="4" w:space="0" w:color="auto"/>
              <w:bottom w:val="single" w:sz="4" w:space="0" w:color="auto"/>
              <w:right w:val="single" w:sz="4" w:space="0" w:color="auto"/>
            </w:tcBorders>
            <w:shd w:val="clear" w:color="auto" w:fill="00B0F0"/>
          </w:tcPr>
          <w:p w:rsidR="00B40C53" w:rsidRDefault="00B40C53">
            <w:pPr>
              <w:keepNext/>
              <w:keepLines/>
              <w:jc w:val="center"/>
              <w:outlineLvl w:val="2"/>
              <w:rPr>
                <w:rFonts w:ascii="Verdana" w:eastAsia="Times New Roman" w:hAnsi="Verdana"/>
                <w:b/>
                <w:bCs/>
                <w:sz w:val="20"/>
                <w:szCs w:val="20"/>
              </w:rPr>
            </w:pPr>
          </w:p>
          <w:p w:rsidR="00B40C53" w:rsidRDefault="00B40C53">
            <w:pPr>
              <w:keepNext/>
              <w:keepLines/>
              <w:jc w:val="center"/>
              <w:outlineLvl w:val="2"/>
              <w:rPr>
                <w:rFonts w:ascii="Verdana" w:eastAsia="Times New Roman" w:hAnsi="Verdana"/>
                <w:b/>
                <w:bCs/>
                <w:sz w:val="20"/>
                <w:szCs w:val="20"/>
              </w:rPr>
            </w:pPr>
            <w:r>
              <w:rPr>
                <w:rFonts w:ascii="Verdana" w:eastAsia="Times New Roman" w:hAnsi="Verdana"/>
                <w:b/>
                <w:bCs/>
                <w:sz w:val="20"/>
                <w:szCs w:val="20"/>
              </w:rPr>
              <w:t>Policy statement on Criteria Expected for Comparable Qualification</w:t>
            </w:r>
          </w:p>
          <w:p w:rsidR="00B40C53" w:rsidRDefault="00B40C53">
            <w:pPr>
              <w:keepNext/>
              <w:keepLines/>
              <w:jc w:val="center"/>
              <w:outlineLvl w:val="2"/>
              <w:rPr>
                <w:rFonts w:ascii="Verdana" w:eastAsia="Times New Roman" w:hAnsi="Verdana"/>
                <w:b/>
                <w:bCs/>
                <w:sz w:val="20"/>
                <w:szCs w:val="20"/>
              </w:rPr>
            </w:pPr>
          </w:p>
        </w:tc>
      </w:tr>
      <w:tr w:rsidR="00B40C53">
        <w:tc>
          <w:tcPr>
            <w:tcW w:w="9351" w:type="dxa"/>
            <w:gridSpan w:val="2"/>
            <w:tcBorders>
              <w:top w:val="single" w:sz="4" w:space="0" w:color="auto"/>
              <w:left w:val="single" w:sz="4" w:space="0" w:color="auto"/>
              <w:bottom w:val="single" w:sz="4" w:space="0" w:color="auto"/>
              <w:right w:val="single" w:sz="4" w:space="0" w:color="auto"/>
            </w:tcBorders>
            <w:shd w:val="clear" w:color="auto" w:fill="F2F2F2"/>
          </w:tcPr>
          <w:p w:rsidR="00B40C53" w:rsidRDefault="00B40C53">
            <w:pPr>
              <w:jc w:val="both"/>
              <w:rPr>
                <w:rFonts w:ascii="Verdana" w:hAnsi="Verdana" w:cs="Arial"/>
                <w:b/>
                <w:sz w:val="20"/>
                <w:szCs w:val="20"/>
              </w:rPr>
            </w:pPr>
          </w:p>
          <w:p w:rsidR="00B40C53" w:rsidRDefault="00B40C53">
            <w:pPr>
              <w:jc w:val="both"/>
              <w:rPr>
                <w:rFonts w:ascii="Verdana" w:eastAsia="Times New Roman" w:hAnsi="Verdana" w:cs="Arial"/>
                <w:sz w:val="20"/>
                <w:szCs w:val="20"/>
              </w:rPr>
            </w:pPr>
            <w:r>
              <w:rPr>
                <w:rFonts w:ascii="Verdana" w:hAnsi="Verdana" w:cs="Arial"/>
                <w:sz w:val="20"/>
                <w:szCs w:val="20"/>
                <w:lang w:val="en-AU"/>
              </w:rPr>
              <w:t xml:space="preserve">Practitioners applying via the Tertiary Pathway who have not completed an </w:t>
            </w:r>
            <w:r>
              <w:rPr>
                <w:rFonts w:ascii="Verdana" w:eastAsia="Times New Roman" w:hAnsi="Verdana" w:cs="Arial"/>
                <w:sz w:val="20"/>
                <w:szCs w:val="20"/>
              </w:rPr>
              <w:t xml:space="preserve">approved Masters level qualification in psychotherapy from a New Zealand University or a </w:t>
            </w:r>
          </w:p>
          <w:p w:rsidR="00B40C53" w:rsidRDefault="00B40C53">
            <w:pPr>
              <w:ind w:right="-433"/>
              <w:jc w:val="both"/>
              <w:rPr>
                <w:rFonts w:ascii="Verdana" w:eastAsia="Times New Roman" w:hAnsi="Verdana" w:cs="Arial"/>
                <w:sz w:val="20"/>
                <w:szCs w:val="20"/>
              </w:rPr>
            </w:pPr>
            <w:r>
              <w:rPr>
                <w:rFonts w:ascii="Verdana" w:eastAsia="Times New Roman" w:hAnsi="Verdana" w:cs="Arial"/>
                <w:sz w:val="20"/>
                <w:szCs w:val="20"/>
              </w:rPr>
              <w:t>New Zealand Training Institution</w:t>
            </w:r>
            <w:r>
              <w:rPr>
                <w:rFonts w:ascii="Verdana" w:hAnsi="Verdana" w:cs="Arial"/>
                <w:sz w:val="20"/>
                <w:szCs w:val="20"/>
                <w:lang w:val="en-AU"/>
              </w:rPr>
              <w:t xml:space="preserve"> will need to meet the </w:t>
            </w:r>
            <w:r>
              <w:rPr>
                <w:rFonts w:ascii="Verdana" w:eastAsia="Times New Roman" w:hAnsi="Verdana" w:cs="Arial"/>
                <w:sz w:val="20"/>
                <w:szCs w:val="20"/>
              </w:rPr>
              <w:t xml:space="preserve">Board’s Policy Criteria Expected of </w:t>
            </w:r>
          </w:p>
          <w:p w:rsidR="00B40C53" w:rsidRDefault="00B40C53">
            <w:pPr>
              <w:jc w:val="both"/>
              <w:rPr>
                <w:rFonts w:ascii="Verdana" w:hAnsi="Verdana" w:cs="Arial"/>
                <w:sz w:val="20"/>
                <w:szCs w:val="20"/>
                <w:lang w:val="en-AU"/>
              </w:rPr>
            </w:pPr>
            <w:proofErr w:type="gramStart"/>
            <w:r>
              <w:rPr>
                <w:rFonts w:ascii="Verdana" w:eastAsia="Times New Roman" w:hAnsi="Verdana" w:cs="Arial"/>
                <w:sz w:val="20"/>
                <w:szCs w:val="20"/>
              </w:rPr>
              <w:t>a</w:t>
            </w:r>
            <w:proofErr w:type="gramEnd"/>
            <w:r>
              <w:rPr>
                <w:rFonts w:ascii="Verdana" w:eastAsia="Times New Roman" w:hAnsi="Verdana" w:cs="Arial"/>
                <w:sz w:val="20"/>
                <w:szCs w:val="20"/>
              </w:rPr>
              <w:t xml:space="preserve"> Comparable Qualification.</w:t>
            </w:r>
            <w:r>
              <w:rPr>
                <w:rFonts w:ascii="Verdana" w:hAnsi="Verdana" w:cs="Arial"/>
                <w:sz w:val="20"/>
                <w:szCs w:val="20"/>
                <w:lang w:val="en-AU"/>
              </w:rPr>
              <w:t xml:space="preserve"> This policy also applies to practitioners applying for registration using an overseas qualification.  </w:t>
            </w:r>
          </w:p>
          <w:p w:rsidR="00B40C53" w:rsidRDefault="00B40C53">
            <w:pPr>
              <w:jc w:val="both"/>
              <w:rPr>
                <w:rFonts w:ascii="Verdana" w:hAnsi="Verdana" w:cs="Arial"/>
                <w:sz w:val="20"/>
                <w:szCs w:val="20"/>
                <w:lang w:val="en-AU"/>
              </w:rPr>
            </w:pPr>
          </w:p>
          <w:p w:rsidR="00B40C53" w:rsidRDefault="00B40C53">
            <w:pPr>
              <w:jc w:val="both"/>
              <w:rPr>
                <w:rFonts w:ascii="Verdana" w:hAnsi="Verdana" w:cs="Arial"/>
                <w:sz w:val="20"/>
                <w:szCs w:val="20"/>
                <w:lang w:val="en-AU"/>
              </w:rPr>
            </w:pPr>
            <w:r>
              <w:rPr>
                <w:rFonts w:ascii="Verdana" w:hAnsi="Verdana" w:cs="Arial"/>
                <w:sz w:val="20"/>
                <w:szCs w:val="20"/>
                <w:lang w:val="en-AU"/>
              </w:rPr>
              <w:t xml:space="preserve">Practitioners applying for registration via this policy must provide clear evidence that they meet the criteria listed below </w:t>
            </w:r>
            <w:r>
              <w:rPr>
                <w:rFonts w:ascii="Verdana" w:hAnsi="Verdana" w:cs="Arial"/>
                <w:b/>
                <w:sz w:val="20"/>
                <w:szCs w:val="20"/>
                <w:lang w:val="en-AU"/>
              </w:rPr>
              <w:t>and</w:t>
            </w:r>
            <w:r>
              <w:rPr>
                <w:rFonts w:ascii="Verdana" w:hAnsi="Verdana" w:cs="Arial"/>
                <w:sz w:val="20"/>
                <w:szCs w:val="20"/>
                <w:lang w:val="en-AU"/>
              </w:rPr>
              <w:t xml:space="preserve"> the Board’s Psychotherapist Core Clinical Competencies.  Practitioners are expected to clearly identify any courses taken as part of their formal qualification, or professional development courses post qualification that support Psychotherapist Clinical Competencies. Areas missing may be covered in a competence statement from a supervisor</w:t>
            </w:r>
            <w:proofErr w:type="gramStart"/>
            <w:r>
              <w:rPr>
                <w:rFonts w:ascii="Verdana" w:hAnsi="Verdana" w:cs="Arial"/>
                <w:sz w:val="20"/>
                <w:szCs w:val="20"/>
                <w:lang w:val="en-AU"/>
              </w:rPr>
              <w:t>;</w:t>
            </w:r>
            <w:proofErr w:type="gramEnd"/>
            <w:r>
              <w:rPr>
                <w:rFonts w:ascii="Verdana" w:hAnsi="Verdana" w:cs="Arial"/>
                <w:sz w:val="20"/>
                <w:szCs w:val="20"/>
                <w:lang w:val="en-AU"/>
              </w:rPr>
              <w:t xml:space="preserve"> approved by the Board</w:t>
            </w:r>
            <w:r>
              <w:rPr>
                <w:rStyle w:val="FootnoteReference"/>
                <w:rFonts w:ascii="Verdana" w:hAnsi="Verdana"/>
                <w:lang w:val="en-AU"/>
              </w:rPr>
              <w:footnoteReference w:id="1"/>
            </w:r>
            <w:r>
              <w:rPr>
                <w:rFonts w:ascii="Verdana" w:hAnsi="Verdana" w:cs="Arial"/>
                <w:sz w:val="20"/>
                <w:szCs w:val="20"/>
                <w:lang w:val="en-AU"/>
              </w:rPr>
              <w:t xml:space="preserve">.     </w:t>
            </w:r>
          </w:p>
          <w:p w:rsidR="00B40C53" w:rsidRDefault="00B40C53">
            <w:pPr>
              <w:jc w:val="both"/>
              <w:rPr>
                <w:rFonts w:ascii="Verdana" w:hAnsi="Verdana" w:cs="Arial"/>
                <w:sz w:val="20"/>
                <w:szCs w:val="20"/>
                <w:lang w:val="en-AU"/>
              </w:rPr>
            </w:pPr>
          </w:p>
          <w:p w:rsidR="00B40C53" w:rsidRDefault="00B40C53">
            <w:pPr>
              <w:jc w:val="both"/>
              <w:rPr>
                <w:rFonts w:ascii="Verdana" w:eastAsia="Times New Roman" w:hAnsi="Verdana" w:cs="Arial"/>
                <w:b/>
                <w:sz w:val="20"/>
                <w:szCs w:val="20"/>
                <w:lang w:val="en-US" w:eastAsia="en-US"/>
              </w:rPr>
            </w:pPr>
            <w:r>
              <w:rPr>
                <w:rFonts w:ascii="Verdana" w:hAnsi="Verdana" w:cs="Arial"/>
                <w:sz w:val="20"/>
                <w:szCs w:val="20"/>
                <w:lang w:val="en-AU"/>
              </w:rPr>
              <w:t xml:space="preserve">All practitioners must demonstrate knowledge and understanding of culturally informed practice especially in relation to working within the context of Te </w:t>
            </w:r>
            <w:proofErr w:type="spellStart"/>
            <w:r>
              <w:rPr>
                <w:rFonts w:ascii="Verdana" w:hAnsi="Verdana" w:cs="Arial"/>
                <w:sz w:val="20"/>
                <w:szCs w:val="20"/>
                <w:lang w:val="en-AU"/>
              </w:rPr>
              <w:t>Tiriti</w:t>
            </w:r>
            <w:proofErr w:type="spellEnd"/>
            <w:r>
              <w:rPr>
                <w:rFonts w:ascii="Verdana" w:hAnsi="Verdana" w:cs="Arial"/>
                <w:sz w:val="20"/>
                <w:szCs w:val="20"/>
                <w:lang w:val="en-AU"/>
              </w:rPr>
              <w:t xml:space="preserve"> o Waitangi and New Zealand society.</w:t>
            </w:r>
          </w:p>
        </w:tc>
      </w:tr>
      <w:tr w:rsidR="00B40C53">
        <w:tc>
          <w:tcPr>
            <w:tcW w:w="9351" w:type="dxa"/>
            <w:gridSpan w:val="2"/>
            <w:tcBorders>
              <w:top w:val="single" w:sz="4" w:space="0" w:color="auto"/>
              <w:left w:val="single" w:sz="4" w:space="0" w:color="auto"/>
              <w:bottom w:val="single" w:sz="4" w:space="0" w:color="auto"/>
              <w:right w:val="single" w:sz="4" w:space="0" w:color="auto"/>
            </w:tcBorders>
            <w:shd w:val="clear" w:color="auto" w:fill="FFFFFF"/>
          </w:tcPr>
          <w:p w:rsidR="00B40C53" w:rsidRDefault="00B40C53">
            <w:pPr>
              <w:jc w:val="center"/>
              <w:rPr>
                <w:rFonts w:ascii="Verdana" w:eastAsia="Times New Roman" w:hAnsi="Verdana" w:cs="Arial"/>
                <w:b/>
                <w:sz w:val="20"/>
                <w:szCs w:val="20"/>
                <w:lang w:val="en-AU"/>
              </w:rPr>
            </w:pPr>
            <w:r>
              <w:rPr>
                <w:rFonts w:ascii="Verdana" w:eastAsia="Times New Roman" w:hAnsi="Verdana" w:cs="Arial"/>
                <w:b/>
                <w:sz w:val="20"/>
                <w:szCs w:val="20"/>
                <w:lang w:val="en-AU"/>
              </w:rPr>
              <w:t>New Zealand Qualifications Authority (</w:t>
            </w:r>
            <w:proofErr w:type="spellStart"/>
            <w:r>
              <w:rPr>
                <w:rFonts w:ascii="Verdana" w:eastAsia="Times New Roman" w:hAnsi="Verdana" w:cs="Arial"/>
                <w:b/>
                <w:sz w:val="20"/>
                <w:szCs w:val="20"/>
                <w:lang w:val="en-AU"/>
              </w:rPr>
              <w:t>NZQA</w:t>
            </w:r>
            <w:proofErr w:type="spellEnd"/>
            <w:r>
              <w:rPr>
                <w:rFonts w:ascii="Verdana" w:eastAsia="Times New Roman" w:hAnsi="Verdana" w:cs="Arial"/>
                <w:b/>
                <w:sz w:val="20"/>
                <w:szCs w:val="20"/>
                <w:lang w:val="en-AU"/>
              </w:rPr>
              <w:t>)</w:t>
            </w:r>
          </w:p>
          <w:p w:rsidR="00B40C53" w:rsidRDefault="00B40C53">
            <w:pPr>
              <w:jc w:val="both"/>
              <w:rPr>
                <w:rFonts w:ascii="Verdana" w:eastAsia="Times New Roman" w:hAnsi="Verdana" w:cs="Arial"/>
                <w:sz w:val="20"/>
                <w:szCs w:val="20"/>
                <w:lang w:val="en-AU"/>
              </w:rPr>
            </w:pPr>
            <w:r>
              <w:rPr>
                <w:rFonts w:ascii="Verdana" w:eastAsia="Times New Roman" w:hAnsi="Verdana" w:cs="Arial"/>
                <w:sz w:val="20"/>
                <w:szCs w:val="20"/>
                <w:lang w:val="en-AU"/>
              </w:rPr>
              <w:t xml:space="preserve">Applicants </w:t>
            </w:r>
            <w:proofErr w:type="gramStart"/>
            <w:r>
              <w:rPr>
                <w:rFonts w:ascii="Verdana" w:eastAsia="Times New Roman" w:hAnsi="Verdana" w:cs="Arial"/>
                <w:sz w:val="20"/>
                <w:szCs w:val="20"/>
                <w:lang w:val="en-AU"/>
              </w:rPr>
              <w:t>may be asked</w:t>
            </w:r>
            <w:proofErr w:type="gramEnd"/>
            <w:r>
              <w:rPr>
                <w:rFonts w:ascii="Verdana" w:eastAsia="Times New Roman" w:hAnsi="Verdana" w:cs="Arial"/>
                <w:sz w:val="20"/>
                <w:szCs w:val="20"/>
                <w:lang w:val="en-AU"/>
              </w:rPr>
              <w:t xml:space="preserve"> to have their qualification verified by </w:t>
            </w:r>
            <w:proofErr w:type="spellStart"/>
            <w:r>
              <w:rPr>
                <w:rFonts w:ascii="Verdana" w:eastAsia="Times New Roman" w:hAnsi="Verdana" w:cs="Arial"/>
                <w:sz w:val="20"/>
                <w:szCs w:val="20"/>
                <w:lang w:val="en-AU"/>
              </w:rPr>
              <w:t>NZQA</w:t>
            </w:r>
            <w:proofErr w:type="spellEnd"/>
            <w:r>
              <w:rPr>
                <w:rFonts w:ascii="Verdana" w:eastAsia="Times New Roman" w:hAnsi="Verdana" w:cs="Arial"/>
                <w:sz w:val="20"/>
                <w:szCs w:val="20"/>
                <w:lang w:val="en-AU"/>
              </w:rPr>
              <w:t xml:space="preserve"> as being equivalent to a New Zealand Masters level qualification. However, an </w:t>
            </w:r>
            <w:proofErr w:type="spellStart"/>
            <w:r>
              <w:rPr>
                <w:rFonts w:ascii="Verdana" w:eastAsia="Times New Roman" w:hAnsi="Verdana" w:cs="Arial"/>
                <w:sz w:val="20"/>
                <w:szCs w:val="20"/>
                <w:lang w:val="en-AU"/>
              </w:rPr>
              <w:t>NZQA</w:t>
            </w:r>
            <w:proofErr w:type="spellEnd"/>
            <w:r>
              <w:rPr>
                <w:rFonts w:ascii="Verdana" w:eastAsia="Times New Roman" w:hAnsi="Verdana" w:cs="Arial"/>
                <w:sz w:val="20"/>
                <w:szCs w:val="20"/>
                <w:lang w:val="en-AU"/>
              </w:rPr>
              <w:t xml:space="preserve"> assessment does not guarantee that the applicant will meet Board requirements.    </w:t>
            </w:r>
          </w:p>
          <w:p w:rsidR="00B40C53" w:rsidRDefault="00B40C53">
            <w:pPr>
              <w:jc w:val="both"/>
              <w:rPr>
                <w:rFonts w:ascii="Verdana" w:eastAsia="Times New Roman" w:hAnsi="Verdana" w:cs="Arial"/>
                <w:sz w:val="20"/>
                <w:szCs w:val="20"/>
                <w:lang w:val="en-AU"/>
              </w:rPr>
            </w:pPr>
          </w:p>
          <w:p w:rsidR="00B40C53" w:rsidRDefault="00B40C53">
            <w:pPr>
              <w:jc w:val="both"/>
              <w:rPr>
                <w:rFonts w:ascii="Verdana" w:hAnsi="Verdana" w:cs="Arial"/>
                <w:b/>
                <w:sz w:val="20"/>
                <w:szCs w:val="20"/>
              </w:rPr>
            </w:pPr>
            <w:r>
              <w:rPr>
                <w:rFonts w:ascii="Verdana" w:eastAsia="Times New Roman" w:hAnsi="Verdana" w:cs="Arial"/>
                <w:sz w:val="20"/>
                <w:szCs w:val="20"/>
                <w:lang w:val="en-AU"/>
              </w:rPr>
              <w:t xml:space="preserve">The Board notes that an </w:t>
            </w:r>
            <w:proofErr w:type="spellStart"/>
            <w:r>
              <w:rPr>
                <w:rFonts w:ascii="Verdana" w:eastAsia="Times New Roman" w:hAnsi="Verdana" w:cs="Arial"/>
                <w:sz w:val="20"/>
                <w:szCs w:val="20"/>
                <w:lang w:val="en-AU"/>
              </w:rPr>
              <w:t>NZQA</w:t>
            </w:r>
            <w:proofErr w:type="spellEnd"/>
            <w:r>
              <w:rPr>
                <w:rFonts w:ascii="Verdana" w:eastAsia="Times New Roman" w:hAnsi="Verdana" w:cs="Arial"/>
                <w:sz w:val="20"/>
                <w:szCs w:val="20"/>
                <w:lang w:val="en-AU"/>
              </w:rPr>
              <w:t xml:space="preserve"> assessment is limited: it is not profession </w:t>
            </w:r>
            <w:proofErr w:type="gramStart"/>
            <w:r>
              <w:rPr>
                <w:rFonts w:ascii="Verdana" w:eastAsia="Times New Roman" w:hAnsi="Verdana" w:cs="Arial"/>
                <w:sz w:val="20"/>
                <w:szCs w:val="20"/>
                <w:lang w:val="en-AU"/>
              </w:rPr>
              <w:t>specific,</w:t>
            </w:r>
            <w:proofErr w:type="gramEnd"/>
            <w:r>
              <w:rPr>
                <w:rFonts w:ascii="Verdana" w:eastAsia="Times New Roman" w:hAnsi="Verdana" w:cs="Arial"/>
                <w:sz w:val="20"/>
                <w:szCs w:val="20"/>
                <w:lang w:val="en-AU"/>
              </w:rPr>
              <w:t xml:space="preserve"> it does not consider clinical competence, cultural competence, and ethical standards of conduct to be observed by psychotherapists.  The Board’s responsibilities in assessing a practitioner’s qualification and competence are much wider than just considering the qualification.  An </w:t>
            </w:r>
            <w:proofErr w:type="spellStart"/>
            <w:r>
              <w:rPr>
                <w:rFonts w:ascii="Verdana" w:eastAsia="Times New Roman" w:hAnsi="Verdana" w:cs="Arial"/>
                <w:sz w:val="20"/>
                <w:szCs w:val="20"/>
                <w:lang w:val="en-AU"/>
              </w:rPr>
              <w:t>NZQA</w:t>
            </w:r>
            <w:proofErr w:type="spellEnd"/>
            <w:r>
              <w:rPr>
                <w:rFonts w:ascii="Verdana" w:eastAsia="Times New Roman" w:hAnsi="Verdana" w:cs="Arial"/>
                <w:sz w:val="20"/>
                <w:szCs w:val="20"/>
                <w:lang w:val="en-AU"/>
              </w:rPr>
              <w:t xml:space="preserve"> assessment can complement an application but it </w:t>
            </w:r>
            <w:proofErr w:type="gramStart"/>
            <w:r>
              <w:rPr>
                <w:rFonts w:ascii="Verdana" w:eastAsia="Times New Roman" w:hAnsi="Verdana" w:cs="Arial"/>
                <w:sz w:val="20"/>
                <w:szCs w:val="20"/>
                <w:lang w:val="en-AU"/>
              </w:rPr>
              <w:t>doesn’t</w:t>
            </w:r>
            <w:proofErr w:type="gramEnd"/>
            <w:r>
              <w:rPr>
                <w:rFonts w:ascii="Verdana" w:eastAsia="Times New Roman" w:hAnsi="Verdana" w:cs="Arial"/>
                <w:sz w:val="20"/>
                <w:szCs w:val="20"/>
                <w:lang w:val="en-AU"/>
              </w:rPr>
              <w:t xml:space="preserve"> guarantee eligibility for registration.  </w:t>
            </w:r>
          </w:p>
        </w:tc>
      </w:tr>
      <w:tr w:rsidR="00B40C53">
        <w:tc>
          <w:tcPr>
            <w:tcW w:w="2122" w:type="dxa"/>
            <w:tcBorders>
              <w:top w:val="single" w:sz="4" w:space="0" w:color="auto"/>
              <w:left w:val="single" w:sz="4" w:space="0" w:color="auto"/>
              <w:bottom w:val="single" w:sz="4" w:space="0" w:color="auto"/>
              <w:right w:val="single" w:sz="4" w:space="0" w:color="auto"/>
            </w:tcBorders>
          </w:tcPr>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val="en-US"/>
              </w:rPr>
            </w:pPr>
          </w:p>
          <w:p w:rsidR="00B40C53" w:rsidRDefault="00B40C53">
            <w:pPr>
              <w:rPr>
                <w:rFonts w:ascii="Verdana" w:eastAsia="Times New Roman" w:hAnsi="Verdana" w:cs="Arial"/>
                <w:sz w:val="20"/>
                <w:szCs w:val="20"/>
                <w:lang w:val="en-AU"/>
              </w:rPr>
            </w:pPr>
            <w:r>
              <w:rPr>
                <w:rFonts w:ascii="Verdana" w:eastAsia="Times New Roman" w:hAnsi="Verdana" w:cs="Arial"/>
                <w:sz w:val="20"/>
                <w:szCs w:val="20"/>
                <w:lang w:val="en-AU"/>
              </w:rPr>
              <w:t xml:space="preserve">Psychotherapist Scope of Practice requirements </w:t>
            </w:r>
          </w:p>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val="en-US" w:eastAsia="en-US"/>
              </w:rPr>
            </w:pPr>
          </w:p>
        </w:tc>
        <w:tc>
          <w:tcPr>
            <w:tcW w:w="7229" w:type="dxa"/>
            <w:tcBorders>
              <w:top w:val="single" w:sz="4" w:space="0" w:color="auto"/>
              <w:left w:val="single" w:sz="4" w:space="0" w:color="auto"/>
              <w:bottom w:val="single" w:sz="4" w:space="0" w:color="auto"/>
              <w:right w:val="single" w:sz="4" w:space="0" w:color="auto"/>
            </w:tcBorders>
          </w:tcPr>
          <w:p w:rsidR="00B40C53" w:rsidRDefault="00B40C53">
            <w:pPr>
              <w:rPr>
                <w:rFonts w:ascii="Verdana" w:hAnsi="Verdana" w:cs="Arial"/>
                <w:b/>
                <w:sz w:val="20"/>
                <w:szCs w:val="20"/>
                <w:lang w:val="en-GB"/>
              </w:rPr>
            </w:pPr>
          </w:p>
          <w:p w:rsidR="00B40C53" w:rsidRDefault="00B40C53">
            <w:pPr>
              <w:ind w:right="-279"/>
              <w:rPr>
                <w:rFonts w:ascii="Verdana" w:eastAsia="Times New Roman" w:hAnsi="Verdana" w:cs="Arial"/>
                <w:b/>
                <w:sz w:val="20"/>
                <w:szCs w:val="20"/>
                <w:lang w:val="en-AU"/>
              </w:rPr>
            </w:pPr>
            <w:r>
              <w:rPr>
                <w:rFonts w:ascii="Verdana" w:eastAsia="Times New Roman" w:hAnsi="Verdana" w:cs="Arial"/>
                <w:b/>
                <w:sz w:val="20"/>
                <w:szCs w:val="20"/>
                <w:lang w:val="en-AU"/>
              </w:rPr>
              <w:t xml:space="preserve">Practitioners must be able to provide evidence from </w:t>
            </w:r>
          </w:p>
          <w:p w:rsidR="00B40C53" w:rsidRDefault="00B40C53">
            <w:pPr>
              <w:ind w:right="-279"/>
              <w:rPr>
                <w:rFonts w:ascii="Verdana" w:eastAsia="Times New Roman" w:hAnsi="Verdana" w:cs="Arial"/>
                <w:sz w:val="20"/>
                <w:szCs w:val="20"/>
                <w:lang w:val="en-AU" w:eastAsia="en-US"/>
              </w:rPr>
            </w:pPr>
            <w:r>
              <w:rPr>
                <w:rFonts w:ascii="Verdana" w:eastAsia="Times New Roman" w:hAnsi="Verdana" w:cs="Arial"/>
                <w:b/>
                <w:sz w:val="20"/>
                <w:szCs w:val="20"/>
                <w:lang w:val="en-AU"/>
              </w:rPr>
              <w:t>coursework of competence in the following:</w:t>
            </w:r>
          </w:p>
          <w:p w:rsidR="00B40C53" w:rsidRDefault="00B40C53" w:rsidP="00B76057">
            <w:pPr>
              <w:numPr>
                <w:ilvl w:val="0"/>
                <w:numId w:val="1"/>
              </w:numPr>
              <w:tabs>
                <w:tab w:val="num" w:pos="317"/>
              </w:tabs>
              <w:ind w:hanging="686"/>
              <w:rPr>
                <w:rFonts w:ascii="Verdana" w:eastAsia="Times New Roman" w:hAnsi="Verdana" w:cs="Arial"/>
                <w:sz w:val="20"/>
                <w:szCs w:val="20"/>
                <w:lang w:val="en-AU"/>
              </w:rPr>
            </w:pPr>
            <w:r>
              <w:rPr>
                <w:rFonts w:ascii="Verdana" w:eastAsia="Times New Roman" w:hAnsi="Verdana" w:cs="Arial"/>
                <w:sz w:val="20"/>
                <w:szCs w:val="20"/>
                <w:lang w:val="en-AU"/>
              </w:rPr>
              <w:t>Understanding of</w:t>
            </w:r>
            <w:r>
              <w:rPr>
                <w:rFonts w:ascii="Verdana" w:eastAsia="Times New Roman" w:hAnsi="Verdana" w:cs="Arial"/>
                <w:b/>
                <w:sz w:val="20"/>
                <w:szCs w:val="20"/>
                <w:lang w:val="en-AU"/>
              </w:rPr>
              <w:t xml:space="preserve"> </w:t>
            </w:r>
            <w:r>
              <w:rPr>
                <w:rFonts w:ascii="Verdana" w:eastAsia="Times New Roman" w:hAnsi="Verdana" w:cs="Arial"/>
                <w:sz w:val="20"/>
                <w:szCs w:val="20"/>
                <w:lang w:val="en-AU"/>
              </w:rPr>
              <w:t>lifespan human development.</w:t>
            </w:r>
          </w:p>
          <w:p w:rsidR="00B40C53" w:rsidRDefault="00B40C53" w:rsidP="00B76057">
            <w:pPr>
              <w:numPr>
                <w:ilvl w:val="0"/>
                <w:numId w:val="1"/>
              </w:numPr>
              <w:tabs>
                <w:tab w:val="num" w:pos="317"/>
              </w:tabs>
              <w:ind w:hanging="686"/>
              <w:rPr>
                <w:rFonts w:ascii="Verdana" w:eastAsia="Times New Roman" w:hAnsi="Verdana" w:cs="Arial"/>
                <w:sz w:val="20"/>
                <w:szCs w:val="20"/>
                <w:lang w:val="en-AU"/>
              </w:rPr>
            </w:pPr>
            <w:r>
              <w:rPr>
                <w:rFonts w:ascii="Verdana" w:eastAsia="Times New Roman" w:hAnsi="Verdana" w:cs="Arial"/>
                <w:sz w:val="20"/>
                <w:szCs w:val="20"/>
                <w:lang w:val="en-AU"/>
              </w:rPr>
              <w:t>Theory of psychotherapeutic models.</w:t>
            </w:r>
          </w:p>
          <w:p w:rsidR="00B40C53" w:rsidRDefault="00B40C53" w:rsidP="00B76057">
            <w:pPr>
              <w:numPr>
                <w:ilvl w:val="0"/>
                <w:numId w:val="1"/>
              </w:numPr>
              <w:tabs>
                <w:tab w:val="num" w:pos="317"/>
              </w:tabs>
              <w:ind w:hanging="686"/>
              <w:rPr>
                <w:rFonts w:ascii="Verdana" w:eastAsia="Times New Roman" w:hAnsi="Verdana" w:cs="Arial"/>
                <w:sz w:val="20"/>
                <w:szCs w:val="20"/>
                <w:lang w:val="en-AU"/>
              </w:rPr>
            </w:pPr>
            <w:r>
              <w:rPr>
                <w:rFonts w:ascii="Verdana" w:eastAsia="Times New Roman" w:hAnsi="Verdana" w:cs="Arial"/>
                <w:sz w:val="20"/>
                <w:szCs w:val="20"/>
                <w:lang w:val="en-AU"/>
              </w:rPr>
              <w:t>Social and cultural dynamics</w:t>
            </w:r>
          </w:p>
          <w:p w:rsidR="00B40C53" w:rsidRDefault="00B40C53" w:rsidP="00B76057">
            <w:pPr>
              <w:numPr>
                <w:ilvl w:val="0"/>
                <w:numId w:val="1"/>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Awareness of cultural competencies and their own cultural identity and diversity of worldviews.</w:t>
            </w:r>
          </w:p>
          <w:p w:rsidR="00B40C53" w:rsidRDefault="00B40C53" w:rsidP="00B76057">
            <w:pPr>
              <w:numPr>
                <w:ilvl w:val="0"/>
                <w:numId w:val="1"/>
              </w:numPr>
              <w:tabs>
                <w:tab w:val="num" w:pos="317"/>
              </w:tabs>
              <w:ind w:hanging="686"/>
              <w:rPr>
                <w:rFonts w:ascii="Verdana" w:eastAsia="Times New Roman" w:hAnsi="Verdana" w:cs="Arial"/>
                <w:sz w:val="20"/>
                <w:szCs w:val="20"/>
                <w:lang w:val="en-AU"/>
              </w:rPr>
            </w:pPr>
            <w:r>
              <w:rPr>
                <w:rFonts w:ascii="Verdana" w:eastAsia="Times New Roman" w:hAnsi="Verdana" w:cs="Arial"/>
                <w:sz w:val="20"/>
                <w:szCs w:val="20"/>
                <w:lang w:val="en-AU"/>
              </w:rPr>
              <w:t xml:space="preserve">Research skills.   </w:t>
            </w:r>
          </w:p>
          <w:p w:rsidR="00B40C53" w:rsidRDefault="00B40C53" w:rsidP="00B76057">
            <w:pPr>
              <w:numPr>
                <w:ilvl w:val="0"/>
                <w:numId w:val="1"/>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Professional development, including understanding of ethics and professional conduct. </w:t>
            </w:r>
          </w:p>
          <w:p w:rsidR="00B40C53" w:rsidRDefault="00B40C53" w:rsidP="00B76057">
            <w:pPr>
              <w:numPr>
                <w:ilvl w:val="0"/>
                <w:numId w:val="1"/>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A basic understanding of NZ law as it applies to the practice of psychotherapy.</w:t>
            </w:r>
          </w:p>
          <w:p w:rsidR="00B40C53" w:rsidRDefault="00B40C53" w:rsidP="00B76057">
            <w:pPr>
              <w:numPr>
                <w:ilvl w:val="0"/>
                <w:numId w:val="1"/>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Therapist self-care.</w:t>
            </w:r>
          </w:p>
          <w:p w:rsidR="00B40C53" w:rsidRDefault="00B40C53" w:rsidP="00B76057">
            <w:pPr>
              <w:numPr>
                <w:ilvl w:val="0"/>
                <w:numId w:val="1"/>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Development of psychotherapeutic skills, including evidence that they have an understanding of and competently apply knowledge of:</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lastRenderedPageBreak/>
              <w:t>-   Interpersonal dynamics.</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Coping mechanisms.</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Psychopathology and psychiatric disorders.</w:t>
            </w:r>
          </w:p>
          <w:p w:rsidR="00B40C53" w:rsidRDefault="00B40C53">
            <w:pPr>
              <w:ind w:left="317" w:hanging="283"/>
              <w:rPr>
                <w:rFonts w:ascii="Verdana" w:eastAsia="Times New Roman" w:hAnsi="Verdana" w:cs="Arial"/>
                <w:sz w:val="20"/>
                <w:szCs w:val="20"/>
                <w:lang w:val="en-AU"/>
              </w:rPr>
            </w:pPr>
            <w:r>
              <w:rPr>
                <w:rFonts w:ascii="Verdana" w:eastAsia="Times New Roman" w:hAnsi="Verdana" w:cs="Arial"/>
                <w:sz w:val="20"/>
                <w:szCs w:val="20"/>
                <w:lang w:val="en-AU"/>
              </w:rPr>
              <w:t>-   A basic understanding of pharmaceuticals commonly used in the treatment of mental conditions.</w:t>
            </w:r>
          </w:p>
          <w:p w:rsidR="00B40C53" w:rsidRDefault="00B40C53">
            <w:pPr>
              <w:ind w:left="317" w:hanging="283"/>
              <w:rPr>
                <w:rFonts w:ascii="Verdana" w:eastAsia="Times New Roman" w:hAnsi="Verdana" w:cs="Arial"/>
                <w:sz w:val="20"/>
                <w:szCs w:val="20"/>
                <w:lang w:val="en-AU"/>
              </w:rPr>
            </w:pPr>
            <w:r>
              <w:rPr>
                <w:rFonts w:ascii="Verdana" w:eastAsia="Times New Roman" w:hAnsi="Verdana" w:cs="Arial"/>
                <w:sz w:val="20"/>
                <w:szCs w:val="20"/>
                <w:lang w:val="en-AU"/>
              </w:rPr>
              <w:t>-   Effects of trauma and abuse (sexual, physical and psychological) or neglect.</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Establishing and maintaining a therapeutic alliance.</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Ability to reflect on own and others process.</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Listening and verbal skills.</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A range of effective and appropriate interventions.</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Assessment, formulation and treatment planning.</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Risk assessment and management.</w:t>
            </w:r>
          </w:p>
          <w:p w:rsidR="00B40C53" w:rsidRDefault="00B40C53">
            <w:pPr>
              <w:ind w:left="34"/>
              <w:rPr>
                <w:rFonts w:ascii="Verdana" w:eastAsia="Times New Roman" w:hAnsi="Verdana" w:cs="Arial"/>
                <w:sz w:val="20"/>
                <w:szCs w:val="20"/>
                <w:lang w:val="en-AU"/>
              </w:rPr>
            </w:pPr>
            <w:r>
              <w:rPr>
                <w:rFonts w:ascii="Verdana" w:eastAsia="Times New Roman" w:hAnsi="Verdana" w:cs="Arial"/>
                <w:sz w:val="20"/>
                <w:szCs w:val="20"/>
                <w:lang w:val="en-AU"/>
              </w:rPr>
              <w:t>-   Managing the boundaries of time and space.</w:t>
            </w:r>
          </w:p>
          <w:p w:rsidR="00B40C53" w:rsidRDefault="00B40C53">
            <w:pPr>
              <w:ind w:left="34"/>
              <w:rPr>
                <w:rFonts w:ascii="Verdana" w:eastAsia="Times New Roman" w:hAnsi="Verdana" w:cs="Arial"/>
                <w:sz w:val="20"/>
                <w:szCs w:val="20"/>
                <w:lang w:val="en-AU"/>
              </w:rPr>
            </w:pPr>
          </w:p>
          <w:p w:rsidR="00B40C53" w:rsidRDefault="00B40C53">
            <w:pPr>
              <w:rPr>
                <w:rFonts w:ascii="Verdana" w:eastAsia="Times New Roman" w:hAnsi="Verdana" w:cs="Arial"/>
                <w:b/>
                <w:sz w:val="20"/>
                <w:szCs w:val="20"/>
                <w:lang w:val="en-AU"/>
              </w:rPr>
            </w:pPr>
            <w:r>
              <w:rPr>
                <w:rFonts w:ascii="Verdana" w:eastAsia="Times New Roman" w:hAnsi="Verdana" w:cs="Arial"/>
                <w:b/>
                <w:sz w:val="20"/>
                <w:szCs w:val="20"/>
                <w:lang w:val="en-AU"/>
              </w:rPr>
              <w:t>Supervised clinical practice</w:t>
            </w:r>
          </w:p>
          <w:p w:rsidR="00B40C53" w:rsidRDefault="00B40C53">
            <w:pPr>
              <w:rPr>
                <w:rFonts w:ascii="Verdana" w:eastAsia="Times New Roman" w:hAnsi="Verdana" w:cs="Arial"/>
                <w:sz w:val="20"/>
                <w:szCs w:val="20"/>
                <w:lang w:val="en-AU"/>
              </w:rPr>
            </w:pPr>
            <w:r>
              <w:rPr>
                <w:rFonts w:ascii="Verdana" w:hAnsi="Verdana"/>
                <w:sz w:val="20"/>
                <w:szCs w:val="20"/>
                <w:lang w:val="en-AU"/>
              </w:rPr>
              <w:t>Competently uses supervision and other resources to improve practice. During training, there must be a minimum of two years of clinical practice with weekly supervision throughout at least one year</w:t>
            </w:r>
            <w:r>
              <w:rPr>
                <w:rFonts w:ascii="Verdana" w:eastAsia="Times New Roman" w:hAnsi="Verdana" w:cs="Arial"/>
                <w:sz w:val="20"/>
                <w:szCs w:val="20"/>
                <w:lang w:val="en-AU"/>
              </w:rPr>
              <w:t>.</w:t>
            </w:r>
          </w:p>
          <w:p w:rsidR="00B40C53" w:rsidRDefault="00B40C53">
            <w:pPr>
              <w:ind w:left="317"/>
              <w:rPr>
                <w:rFonts w:ascii="Verdana" w:hAnsi="Verdana" w:cs="Arial"/>
                <w:sz w:val="20"/>
                <w:szCs w:val="20"/>
                <w:lang w:val="en-GB"/>
              </w:rPr>
            </w:pPr>
          </w:p>
        </w:tc>
      </w:tr>
      <w:tr w:rsidR="00B40C53">
        <w:tc>
          <w:tcPr>
            <w:tcW w:w="2122" w:type="dxa"/>
            <w:tcBorders>
              <w:top w:val="single" w:sz="4" w:space="0" w:color="auto"/>
              <w:left w:val="single" w:sz="4" w:space="0" w:color="auto"/>
              <w:bottom w:val="single" w:sz="4" w:space="0" w:color="auto"/>
              <w:right w:val="single" w:sz="4" w:space="0" w:color="auto"/>
            </w:tcBorders>
            <w:hideMark/>
          </w:tcPr>
          <w:p w:rsidR="00B40C53" w:rsidRDefault="00B40C53">
            <w:pPr>
              <w:spacing w:after="200" w:line="276" w:lineRule="auto"/>
              <w:rPr>
                <w:rFonts w:ascii="Verdana" w:eastAsia="Times New Roman" w:hAnsi="Verdana" w:cs="Arial"/>
                <w:sz w:val="20"/>
                <w:szCs w:val="20"/>
                <w:lang w:val="en-US" w:eastAsia="en-US"/>
              </w:rPr>
            </w:pPr>
            <w:r>
              <w:rPr>
                <w:rFonts w:ascii="Verdana" w:eastAsia="Times New Roman" w:hAnsi="Verdana" w:cs="Arial"/>
                <w:sz w:val="20"/>
                <w:szCs w:val="20"/>
                <w:lang w:val="en-US"/>
              </w:rPr>
              <w:lastRenderedPageBreak/>
              <w:t xml:space="preserve">Psychotherapist Scope of Practice with Child and Adolescent Psychotherapist Specialism requirements </w:t>
            </w:r>
          </w:p>
        </w:tc>
        <w:tc>
          <w:tcPr>
            <w:tcW w:w="7229" w:type="dxa"/>
            <w:tcBorders>
              <w:top w:val="single" w:sz="4" w:space="0" w:color="auto"/>
              <w:left w:val="single" w:sz="4" w:space="0" w:color="auto"/>
              <w:bottom w:val="single" w:sz="4" w:space="0" w:color="auto"/>
              <w:right w:val="single" w:sz="4" w:space="0" w:color="auto"/>
            </w:tcBorders>
          </w:tcPr>
          <w:p w:rsidR="00B40C53" w:rsidRDefault="00B40C53">
            <w:pPr>
              <w:ind w:left="360"/>
              <w:rPr>
                <w:rFonts w:ascii="Verdana" w:eastAsia="Times New Roman" w:hAnsi="Verdana" w:cs="Arial"/>
                <w:sz w:val="20"/>
                <w:szCs w:val="20"/>
                <w:lang w:val="en-AU"/>
              </w:rPr>
            </w:pPr>
            <w:r>
              <w:rPr>
                <w:rFonts w:ascii="Verdana" w:eastAsia="Times New Roman" w:hAnsi="Verdana" w:cs="Arial"/>
                <w:b/>
                <w:sz w:val="20"/>
                <w:szCs w:val="20"/>
                <w:lang w:val="en-AU"/>
              </w:rPr>
              <w:t>Note: In addition to the above, practitioners must be able to demonstrate knowledge of and competence in the following:</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In-depth understanding of infant, child and adolescent development, including psychological, emotional, social cognitive and maturational development.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Knowledge of infant, child and adolescent mental health.</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Knowledge of infant, child and adolescent psychological / psychiatric disorders.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Knowledge of learning disabilities / special educational needs.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Knowledge of developmental delays / developmental disruptions.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Understanding of the effects on children of abuse (sexual, physical and psychological) and trauma or neglect.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Understanding of multi-disciplinary approaches to working with children, adolescents and families.</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Understanding of child protection procedures, statutory and legislative requirements, family court procedures.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Understanding of systemic approaches to working with children, adolescents and families.</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Knowledge of family dynamics.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Ability to work with parents / care-givers / the child’s wider social network, e.g. school, GP, statutory bodies. </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Understanding of non-verbal communication.</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Understanding of the symbolism of play.</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Ability to conduct an assessment and develop a treatment formulation, including a mental status report.   </w:t>
            </w:r>
          </w:p>
          <w:p w:rsidR="00B40C53" w:rsidRDefault="00B40C53">
            <w:pPr>
              <w:ind w:left="360"/>
              <w:rPr>
                <w:rFonts w:ascii="Verdana" w:eastAsia="Times New Roman" w:hAnsi="Verdana" w:cs="Arial"/>
                <w:sz w:val="20"/>
                <w:szCs w:val="20"/>
                <w:lang w:val="en-AU"/>
              </w:rPr>
            </w:pPr>
          </w:p>
          <w:p w:rsidR="00B40C53" w:rsidRDefault="00B40C53">
            <w:pPr>
              <w:rPr>
                <w:rFonts w:ascii="Verdana" w:eastAsia="Times New Roman" w:hAnsi="Verdana" w:cs="Arial"/>
                <w:b/>
                <w:sz w:val="20"/>
                <w:szCs w:val="20"/>
                <w:lang w:val="en-AU"/>
              </w:rPr>
            </w:pPr>
            <w:r>
              <w:rPr>
                <w:rFonts w:ascii="Verdana" w:eastAsia="Times New Roman" w:hAnsi="Verdana" w:cs="Arial"/>
                <w:sz w:val="20"/>
                <w:szCs w:val="20"/>
                <w:lang w:val="en-AU"/>
              </w:rPr>
              <w:t xml:space="preserve">Practitioners will have undertaken a mother and infant observational study as per the </w:t>
            </w:r>
            <w:proofErr w:type="spellStart"/>
            <w:r>
              <w:rPr>
                <w:rFonts w:ascii="Verdana" w:eastAsia="Times New Roman" w:hAnsi="Verdana" w:cs="Arial"/>
                <w:sz w:val="20"/>
                <w:szCs w:val="20"/>
                <w:lang w:val="en-AU"/>
              </w:rPr>
              <w:t>Tavistock</w:t>
            </w:r>
            <w:proofErr w:type="spellEnd"/>
            <w:r>
              <w:rPr>
                <w:rFonts w:ascii="Verdana" w:eastAsia="Times New Roman" w:hAnsi="Verdana" w:cs="Arial"/>
                <w:sz w:val="20"/>
                <w:szCs w:val="20"/>
                <w:lang w:val="en-AU"/>
              </w:rPr>
              <w:t xml:space="preserve"> model, conducted over two years.</w:t>
            </w:r>
          </w:p>
          <w:p w:rsidR="00B40C53" w:rsidRDefault="00B40C53">
            <w:pPr>
              <w:rPr>
                <w:rFonts w:ascii="Verdana" w:eastAsia="Times New Roman" w:hAnsi="Verdana" w:cs="Arial"/>
                <w:b/>
                <w:sz w:val="20"/>
                <w:szCs w:val="20"/>
                <w:lang w:val="en-AU"/>
              </w:rPr>
            </w:pPr>
          </w:p>
          <w:p w:rsidR="00B40C53" w:rsidRDefault="00B40C53">
            <w:pPr>
              <w:rPr>
                <w:rFonts w:ascii="Verdana" w:eastAsia="Times New Roman" w:hAnsi="Verdana" w:cs="Arial"/>
                <w:b/>
                <w:sz w:val="20"/>
                <w:szCs w:val="20"/>
                <w:lang w:val="en-AU"/>
              </w:rPr>
            </w:pPr>
            <w:r>
              <w:rPr>
                <w:rFonts w:ascii="Verdana" w:eastAsia="Times New Roman" w:hAnsi="Verdana" w:cs="Arial"/>
                <w:b/>
                <w:sz w:val="20"/>
                <w:szCs w:val="20"/>
                <w:lang w:val="en-AU"/>
              </w:rPr>
              <w:t>Supervised clinical practice with children, adolescents and families</w:t>
            </w:r>
          </w:p>
          <w:p w:rsidR="00B40C53" w:rsidRDefault="00B40C53">
            <w:pPr>
              <w:rPr>
                <w:rFonts w:ascii="Verdana" w:eastAsia="Times New Roman" w:hAnsi="Verdana" w:cs="Arial"/>
                <w:sz w:val="20"/>
                <w:szCs w:val="20"/>
                <w:lang w:val="en-AU"/>
              </w:rPr>
            </w:pPr>
            <w:r>
              <w:rPr>
                <w:rFonts w:ascii="Verdana" w:hAnsi="Verdana"/>
                <w:sz w:val="20"/>
                <w:szCs w:val="20"/>
                <w:lang w:val="en-AU"/>
              </w:rPr>
              <w:lastRenderedPageBreak/>
              <w:t>During training, clinical supervision must be weekly throughout each training year</w:t>
            </w:r>
            <w:r>
              <w:rPr>
                <w:rFonts w:ascii="Verdana" w:eastAsia="Times New Roman" w:hAnsi="Verdana" w:cs="Arial"/>
                <w:sz w:val="20"/>
                <w:szCs w:val="20"/>
                <w:lang w:val="en-AU"/>
              </w:rPr>
              <w:t>.</w:t>
            </w:r>
          </w:p>
          <w:p w:rsidR="00B40C53" w:rsidRDefault="00B40C53">
            <w:pPr>
              <w:rPr>
                <w:rFonts w:ascii="Verdana" w:hAnsi="Verdana" w:cs="Arial"/>
                <w:sz w:val="20"/>
                <w:szCs w:val="20"/>
              </w:rPr>
            </w:pPr>
          </w:p>
        </w:tc>
      </w:tr>
      <w:tr w:rsidR="00B40C53">
        <w:tc>
          <w:tcPr>
            <w:tcW w:w="2122" w:type="dxa"/>
            <w:tcBorders>
              <w:top w:val="single" w:sz="4" w:space="0" w:color="auto"/>
              <w:left w:val="single" w:sz="4" w:space="0" w:color="auto"/>
              <w:bottom w:val="single" w:sz="4" w:space="0" w:color="auto"/>
              <w:right w:val="single" w:sz="4" w:space="0" w:color="auto"/>
            </w:tcBorders>
          </w:tcPr>
          <w:p w:rsidR="00B40C53" w:rsidRDefault="00B40C53">
            <w:pPr>
              <w:rPr>
                <w:rFonts w:ascii="Verdana" w:eastAsia="Times New Roman" w:hAnsi="Verdana" w:cs="Arial"/>
                <w:b/>
                <w:sz w:val="20"/>
                <w:szCs w:val="20"/>
                <w:lang w:val="en-AU"/>
              </w:rPr>
            </w:pPr>
            <w:r>
              <w:rPr>
                <w:rFonts w:ascii="Verdana" w:eastAsia="Times New Roman" w:hAnsi="Verdana" w:cs="Arial"/>
                <w:b/>
                <w:sz w:val="20"/>
                <w:szCs w:val="20"/>
                <w:lang w:val="en-AU"/>
              </w:rPr>
              <w:lastRenderedPageBreak/>
              <w:t>*</w:t>
            </w:r>
            <w:r>
              <w:rPr>
                <w:rFonts w:ascii="Verdana" w:eastAsia="Times New Roman" w:hAnsi="Verdana"/>
                <w:sz w:val="20"/>
                <w:szCs w:val="20"/>
                <w:lang w:val="en-AU"/>
              </w:rPr>
              <w:t xml:space="preserve"> </w:t>
            </w:r>
            <w:r>
              <w:rPr>
                <w:rFonts w:ascii="Verdana" w:eastAsia="Times New Roman" w:hAnsi="Verdana"/>
                <w:b/>
                <w:sz w:val="20"/>
                <w:szCs w:val="20"/>
              </w:rPr>
              <w:t>Competence to Practice in the New Zealand Context</w:t>
            </w:r>
          </w:p>
          <w:p w:rsidR="00B40C53" w:rsidRDefault="00B40C53">
            <w:pPr>
              <w:rPr>
                <w:rFonts w:ascii="Verdana" w:eastAsia="Times New Roman" w:hAnsi="Verdana" w:cs="Arial"/>
                <w:b/>
                <w:sz w:val="20"/>
                <w:szCs w:val="20"/>
                <w:lang w:val="en-AU"/>
              </w:rPr>
            </w:pPr>
          </w:p>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eastAsia="en-US"/>
              </w:rPr>
            </w:pPr>
            <w:r>
              <w:rPr>
                <w:rFonts w:ascii="Verdana" w:eastAsia="Times New Roman" w:hAnsi="Verdana" w:cs="Arial"/>
                <w:b/>
                <w:sz w:val="20"/>
                <w:szCs w:val="20"/>
                <w:lang w:val="en-AU"/>
              </w:rPr>
              <w:t>See Notes 1 and 2 below:</w:t>
            </w:r>
            <w:r>
              <w:rPr>
                <w:rFonts w:ascii="Verdana" w:eastAsia="Times New Roman" w:hAnsi="Verdana" w:cs="Arial"/>
                <w:sz w:val="20"/>
                <w:szCs w:val="20"/>
                <w:lang w:val="en-AU"/>
              </w:rPr>
              <w:t xml:space="preserve">   Evidence of competence may include a written a statement showing how the practitioner demonstrates competence in these areas – not more than 600 words.  </w:t>
            </w:r>
          </w:p>
        </w:tc>
        <w:tc>
          <w:tcPr>
            <w:tcW w:w="7229" w:type="dxa"/>
            <w:tcBorders>
              <w:top w:val="single" w:sz="4" w:space="0" w:color="auto"/>
              <w:left w:val="single" w:sz="4" w:space="0" w:color="auto"/>
              <w:bottom w:val="single" w:sz="4" w:space="0" w:color="auto"/>
              <w:right w:val="single" w:sz="4" w:space="0" w:color="auto"/>
            </w:tcBorders>
          </w:tcPr>
          <w:p w:rsidR="00B40C53" w:rsidRDefault="00B40C53">
            <w:pPr>
              <w:jc w:val="both"/>
              <w:rPr>
                <w:rFonts w:ascii="Verdana" w:hAnsi="Verdana"/>
                <w:lang w:val="en-AU"/>
              </w:rPr>
            </w:pPr>
            <w:r>
              <w:rPr>
                <w:rFonts w:ascii="Verdana" w:eastAsia="Times New Roman" w:hAnsi="Verdana" w:cs="Arial"/>
                <w:sz w:val="20"/>
                <w:szCs w:val="20"/>
                <w:lang w:val="en-AU"/>
              </w:rPr>
              <w:t xml:space="preserve">Psychotherapists practising in Aotearoa NZ will have undertaken a process of reflection on their own cultural identity, will recognise the diversity of worldviews (both within and between cultural groups), </w:t>
            </w:r>
            <w:proofErr w:type="gramStart"/>
            <w:r>
              <w:rPr>
                <w:rFonts w:ascii="Verdana" w:eastAsia="Times New Roman" w:hAnsi="Verdana" w:cs="Arial"/>
                <w:sz w:val="20"/>
                <w:szCs w:val="20"/>
                <w:lang w:val="en-AU"/>
              </w:rPr>
              <w:t>will</w:t>
            </w:r>
            <w:proofErr w:type="gramEnd"/>
            <w:r>
              <w:rPr>
                <w:rFonts w:ascii="Verdana" w:eastAsia="Times New Roman" w:hAnsi="Verdana" w:cs="Arial"/>
                <w:sz w:val="20"/>
                <w:szCs w:val="20"/>
                <w:lang w:val="en-AU"/>
              </w:rPr>
              <w:t xml:space="preserve"> understand the theories of power relations and the impact of colonisation processes. They will also recognise the impact that his or her personal culture has on his or her professional practice.  For example, any action that </w:t>
            </w:r>
            <w:proofErr w:type="gramStart"/>
            <w:r>
              <w:rPr>
                <w:rFonts w:ascii="Verdana" w:eastAsia="Times New Roman" w:hAnsi="Verdana" w:cs="Arial"/>
                <w:sz w:val="20"/>
                <w:szCs w:val="20"/>
                <w:lang w:val="en-AU"/>
              </w:rPr>
              <w:t>diminishes,</w:t>
            </w:r>
            <w:proofErr w:type="gramEnd"/>
            <w:r>
              <w:rPr>
                <w:rFonts w:ascii="Verdana" w:eastAsia="Times New Roman" w:hAnsi="Verdana" w:cs="Arial"/>
                <w:sz w:val="20"/>
                <w:szCs w:val="20"/>
                <w:lang w:val="en-AU"/>
              </w:rPr>
              <w:t xml:space="preserve"> demeans or disempowers the cultural identity and wellbeing of an individual would be considered unsafe cultural practice. </w:t>
            </w:r>
          </w:p>
          <w:p w:rsidR="00B40C53" w:rsidRDefault="00B40C53">
            <w:pPr>
              <w:pStyle w:val="FootnoteText"/>
              <w:spacing w:line="276" w:lineRule="auto"/>
              <w:rPr>
                <w:rFonts w:ascii="Verdana" w:hAnsi="Verdana"/>
              </w:rPr>
            </w:pPr>
          </w:p>
          <w:p w:rsidR="00B40C53" w:rsidRDefault="00B40C53">
            <w:pPr>
              <w:jc w:val="both"/>
              <w:rPr>
                <w:rFonts w:ascii="Verdana" w:hAnsi="Verdana"/>
                <w:lang w:val="en-AU"/>
              </w:rPr>
            </w:pPr>
            <w:r>
              <w:rPr>
                <w:rFonts w:ascii="Verdana" w:eastAsia="Times New Roman" w:hAnsi="Verdana" w:cs="Arial"/>
                <w:sz w:val="20"/>
                <w:szCs w:val="20"/>
                <w:lang w:val="en-AU"/>
              </w:rPr>
              <w:t>Therefore, practitioners who arrive in New Zealand after the 1st October 2008 who haven’t provided evidence of this requirement will have a condition on their scope of practice which will require them to within 12 months of being registered provide evidence, in their own words,  of competence in the following areas;</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Te </w:t>
            </w:r>
            <w:proofErr w:type="spellStart"/>
            <w:r>
              <w:rPr>
                <w:rFonts w:ascii="Verdana" w:eastAsia="Times New Roman" w:hAnsi="Verdana" w:cs="Arial"/>
                <w:sz w:val="20"/>
                <w:szCs w:val="20"/>
                <w:lang w:val="en-AU"/>
              </w:rPr>
              <w:t>Tiriti</w:t>
            </w:r>
            <w:proofErr w:type="spellEnd"/>
            <w:r>
              <w:rPr>
                <w:rFonts w:ascii="Verdana" w:eastAsia="Times New Roman" w:hAnsi="Verdana" w:cs="Arial"/>
                <w:sz w:val="20"/>
                <w:szCs w:val="20"/>
                <w:lang w:val="en-AU"/>
              </w:rPr>
              <w:t xml:space="preserve"> o Waitangi and relevance to psychotherapy practice in bicultural NZ;</w:t>
            </w:r>
          </w:p>
          <w:p w:rsidR="00B40C53" w:rsidRDefault="00B40C53" w:rsidP="00B76057">
            <w:pPr>
              <w:numPr>
                <w:ilvl w:val="0"/>
                <w:numId w:val="2"/>
              </w:numPr>
              <w:tabs>
                <w:tab w:val="num" w:pos="317"/>
              </w:tabs>
              <w:ind w:left="317" w:hanging="283"/>
              <w:rPr>
                <w:rFonts w:ascii="Verdana" w:eastAsia="Times New Roman" w:hAnsi="Verdana" w:cs="Arial"/>
                <w:sz w:val="20"/>
                <w:szCs w:val="20"/>
                <w:lang w:val="en-AU"/>
              </w:rPr>
            </w:pPr>
            <w:r>
              <w:rPr>
                <w:rFonts w:ascii="Verdana" w:eastAsia="Times New Roman" w:hAnsi="Verdana" w:cs="Arial"/>
                <w:sz w:val="20"/>
                <w:szCs w:val="20"/>
                <w:lang w:val="en-AU"/>
              </w:rPr>
              <w:t xml:space="preserve">Cultural and social dynamics and safety specifically relevant to bicultural NZ; </w:t>
            </w:r>
          </w:p>
          <w:p w:rsidR="00B40C53" w:rsidRDefault="00B40C53" w:rsidP="00B76057">
            <w:pPr>
              <w:numPr>
                <w:ilvl w:val="0"/>
                <w:numId w:val="2"/>
              </w:numPr>
              <w:tabs>
                <w:tab w:val="num" w:pos="317"/>
              </w:tabs>
              <w:overflowPunct w:val="0"/>
              <w:autoSpaceDE w:val="0"/>
              <w:autoSpaceDN w:val="0"/>
              <w:adjustRightInd w:val="0"/>
              <w:ind w:left="317" w:hanging="283"/>
              <w:textAlignment w:val="baseline"/>
              <w:rPr>
                <w:rFonts w:ascii="Verdana" w:eastAsia="Times New Roman" w:hAnsi="Verdana" w:cs="Arial"/>
                <w:b/>
                <w:sz w:val="20"/>
                <w:szCs w:val="20"/>
                <w:lang w:eastAsia="en-US"/>
              </w:rPr>
            </w:pPr>
            <w:r>
              <w:rPr>
                <w:rFonts w:ascii="Verdana" w:eastAsia="Times New Roman" w:hAnsi="Verdana" w:cs="Arial"/>
                <w:sz w:val="20"/>
                <w:szCs w:val="20"/>
                <w:lang w:val="en-AU"/>
              </w:rPr>
              <w:t>Understanding of the New Zealand Health sector and New the Zealand Legal system including working with the Accident Compensation Corporation (ACC), Health and Disabilities Commissioner (</w:t>
            </w:r>
            <w:proofErr w:type="spellStart"/>
            <w:r>
              <w:rPr>
                <w:rFonts w:ascii="Verdana" w:eastAsia="Times New Roman" w:hAnsi="Verdana" w:cs="Arial"/>
                <w:sz w:val="20"/>
                <w:szCs w:val="20"/>
                <w:lang w:val="en-AU"/>
              </w:rPr>
              <w:t>HDC</w:t>
            </w:r>
            <w:proofErr w:type="spellEnd"/>
            <w:r>
              <w:rPr>
                <w:rFonts w:ascii="Verdana" w:eastAsia="Times New Roman" w:hAnsi="Verdana" w:cs="Arial"/>
                <w:sz w:val="20"/>
                <w:szCs w:val="20"/>
                <w:lang w:val="en-AU"/>
              </w:rPr>
              <w:t xml:space="preserve">) (including the </w:t>
            </w:r>
            <w:proofErr w:type="spellStart"/>
            <w:r>
              <w:rPr>
                <w:rFonts w:ascii="Verdana" w:eastAsia="Times New Roman" w:hAnsi="Verdana" w:cs="Arial"/>
                <w:sz w:val="20"/>
                <w:szCs w:val="20"/>
                <w:lang w:val="en-AU"/>
              </w:rPr>
              <w:t>HDC</w:t>
            </w:r>
            <w:proofErr w:type="spellEnd"/>
            <w:r>
              <w:rPr>
                <w:rFonts w:ascii="Verdana" w:eastAsia="Times New Roman" w:hAnsi="Verdana" w:cs="Arial"/>
                <w:sz w:val="20"/>
                <w:szCs w:val="20"/>
                <w:lang w:val="en-AU"/>
              </w:rPr>
              <w:t xml:space="preserve"> Code of Health and Disability Services Consumers' Rights Regulation), and the Health Practitioners Competence Assurance Act (HPCAA).</w:t>
            </w:r>
          </w:p>
          <w:p w:rsidR="00B40C53" w:rsidRDefault="00B40C53">
            <w:pPr>
              <w:overflowPunct w:val="0"/>
              <w:autoSpaceDE w:val="0"/>
              <w:autoSpaceDN w:val="0"/>
              <w:adjustRightInd w:val="0"/>
              <w:textAlignment w:val="baseline"/>
              <w:rPr>
                <w:rFonts w:ascii="Verdana" w:eastAsia="Times New Roman" w:hAnsi="Verdana" w:cs="Arial"/>
                <w:sz w:val="20"/>
                <w:szCs w:val="20"/>
                <w:lang w:eastAsia="en-US"/>
              </w:rPr>
            </w:pPr>
          </w:p>
        </w:tc>
      </w:tr>
      <w:tr w:rsidR="00B40C53">
        <w:tc>
          <w:tcPr>
            <w:tcW w:w="2122" w:type="dxa"/>
            <w:tcBorders>
              <w:top w:val="single" w:sz="4" w:space="0" w:color="auto"/>
              <w:left w:val="single" w:sz="4" w:space="0" w:color="auto"/>
              <w:bottom w:val="single" w:sz="4" w:space="0" w:color="auto"/>
              <w:right w:val="single" w:sz="4" w:space="0" w:color="auto"/>
            </w:tcBorders>
            <w:hideMark/>
          </w:tcPr>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eastAsia="en-US"/>
              </w:rPr>
            </w:pPr>
            <w:r>
              <w:rPr>
                <w:rFonts w:ascii="Verdana" w:hAnsi="Verdana" w:cs="Arial"/>
                <w:b/>
                <w:sz w:val="20"/>
                <w:szCs w:val="20"/>
              </w:rPr>
              <w:t>Length of training/tuition:</w:t>
            </w:r>
          </w:p>
        </w:tc>
        <w:tc>
          <w:tcPr>
            <w:tcW w:w="7229" w:type="dxa"/>
            <w:tcBorders>
              <w:top w:val="single" w:sz="4" w:space="0" w:color="auto"/>
              <w:left w:val="single" w:sz="4" w:space="0" w:color="auto"/>
              <w:bottom w:val="single" w:sz="4" w:space="0" w:color="auto"/>
              <w:right w:val="single" w:sz="4" w:space="0" w:color="auto"/>
            </w:tcBorders>
          </w:tcPr>
          <w:p w:rsidR="00B40C53" w:rsidRDefault="00B40C53">
            <w:pPr>
              <w:jc w:val="both"/>
              <w:rPr>
                <w:rFonts w:ascii="Verdana" w:eastAsia="Times New Roman" w:hAnsi="Verdana" w:cs="Arial"/>
                <w:sz w:val="20"/>
                <w:szCs w:val="20"/>
                <w:lang w:val="en-AU"/>
              </w:rPr>
            </w:pPr>
            <w:r>
              <w:rPr>
                <w:rFonts w:ascii="Verdana" w:eastAsia="Times New Roman" w:hAnsi="Verdana" w:cs="Arial"/>
                <w:sz w:val="20"/>
                <w:szCs w:val="20"/>
                <w:lang w:val="en-AU"/>
              </w:rPr>
              <w:t>Minimum 3 years</w:t>
            </w:r>
          </w:p>
          <w:p w:rsidR="00B40C53" w:rsidRDefault="00B40C53">
            <w:pPr>
              <w:overflowPunct w:val="0"/>
              <w:autoSpaceDE w:val="0"/>
              <w:autoSpaceDN w:val="0"/>
              <w:adjustRightInd w:val="0"/>
              <w:textAlignment w:val="baseline"/>
              <w:rPr>
                <w:rFonts w:ascii="Verdana" w:eastAsia="Times New Roman" w:hAnsi="Verdana" w:cs="Arial"/>
                <w:b/>
                <w:sz w:val="20"/>
                <w:szCs w:val="20"/>
                <w:lang w:eastAsia="en-US"/>
              </w:rPr>
            </w:pPr>
          </w:p>
        </w:tc>
      </w:tr>
      <w:tr w:rsidR="00B40C53">
        <w:tc>
          <w:tcPr>
            <w:tcW w:w="2122" w:type="dxa"/>
            <w:tcBorders>
              <w:top w:val="single" w:sz="4" w:space="0" w:color="auto"/>
              <w:left w:val="single" w:sz="4" w:space="0" w:color="auto"/>
              <w:bottom w:val="single" w:sz="4" w:space="0" w:color="auto"/>
              <w:right w:val="single" w:sz="4" w:space="0" w:color="auto"/>
            </w:tcBorders>
            <w:hideMark/>
          </w:tcPr>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eastAsia="en-US"/>
              </w:rPr>
            </w:pPr>
            <w:r>
              <w:rPr>
                <w:rFonts w:ascii="Verdana" w:hAnsi="Verdana" w:cs="Arial"/>
                <w:b/>
                <w:sz w:val="20"/>
                <w:szCs w:val="20"/>
              </w:rPr>
              <w:t>Tutor contact hours:</w:t>
            </w:r>
          </w:p>
        </w:tc>
        <w:tc>
          <w:tcPr>
            <w:tcW w:w="7229" w:type="dxa"/>
            <w:tcBorders>
              <w:top w:val="single" w:sz="4" w:space="0" w:color="auto"/>
              <w:left w:val="single" w:sz="4" w:space="0" w:color="auto"/>
              <w:bottom w:val="single" w:sz="4" w:space="0" w:color="auto"/>
              <w:right w:val="single" w:sz="4" w:space="0" w:color="auto"/>
            </w:tcBorders>
          </w:tcPr>
          <w:p w:rsidR="00B40C53" w:rsidRDefault="00B40C53">
            <w:pPr>
              <w:jc w:val="both"/>
              <w:rPr>
                <w:rFonts w:ascii="Verdana" w:eastAsia="Times New Roman" w:hAnsi="Verdana" w:cs="Arial"/>
                <w:sz w:val="20"/>
                <w:szCs w:val="20"/>
                <w:lang w:val="en-AU"/>
              </w:rPr>
            </w:pPr>
            <w:r>
              <w:rPr>
                <w:rFonts w:ascii="Verdana" w:eastAsia="Times New Roman" w:hAnsi="Verdana" w:cs="Arial"/>
                <w:sz w:val="20"/>
                <w:szCs w:val="20"/>
                <w:lang w:val="en-AU"/>
              </w:rPr>
              <w:t>Minimum 300</w:t>
            </w:r>
          </w:p>
          <w:p w:rsidR="00B40C53" w:rsidRDefault="00B40C53">
            <w:pPr>
              <w:overflowPunct w:val="0"/>
              <w:autoSpaceDE w:val="0"/>
              <w:autoSpaceDN w:val="0"/>
              <w:adjustRightInd w:val="0"/>
              <w:textAlignment w:val="baseline"/>
              <w:rPr>
                <w:rFonts w:ascii="Verdana" w:eastAsia="Times New Roman" w:hAnsi="Verdana" w:cs="Arial"/>
                <w:b/>
                <w:sz w:val="20"/>
                <w:szCs w:val="20"/>
                <w:lang w:eastAsia="en-US"/>
              </w:rPr>
            </w:pPr>
          </w:p>
        </w:tc>
      </w:tr>
      <w:tr w:rsidR="00B40C53">
        <w:tc>
          <w:tcPr>
            <w:tcW w:w="2122" w:type="dxa"/>
            <w:tcBorders>
              <w:top w:val="single" w:sz="4" w:space="0" w:color="auto"/>
              <w:left w:val="single" w:sz="4" w:space="0" w:color="auto"/>
              <w:bottom w:val="single" w:sz="4" w:space="0" w:color="auto"/>
              <w:right w:val="single" w:sz="4" w:space="0" w:color="auto"/>
            </w:tcBorders>
            <w:hideMark/>
          </w:tcPr>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eastAsia="en-US"/>
              </w:rPr>
            </w:pPr>
            <w:r>
              <w:rPr>
                <w:rFonts w:ascii="Verdana" w:hAnsi="Verdana" w:cs="Arial"/>
                <w:b/>
                <w:sz w:val="20"/>
                <w:szCs w:val="20"/>
              </w:rPr>
              <w:t>Minimum number of supervised clinical practise hours during training:</w:t>
            </w:r>
          </w:p>
        </w:tc>
        <w:tc>
          <w:tcPr>
            <w:tcW w:w="7229" w:type="dxa"/>
            <w:tcBorders>
              <w:top w:val="single" w:sz="4" w:space="0" w:color="auto"/>
              <w:left w:val="single" w:sz="4" w:space="0" w:color="auto"/>
              <w:bottom w:val="single" w:sz="4" w:space="0" w:color="auto"/>
              <w:right w:val="single" w:sz="4" w:space="0" w:color="auto"/>
            </w:tcBorders>
          </w:tcPr>
          <w:p w:rsidR="00B40C53" w:rsidRDefault="00B40C53">
            <w:pPr>
              <w:jc w:val="both"/>
              <w:rPr>
                <w:rFonts w:ascii="Verdana" w:eastAsia="Times New Roman" w:hAnsi="Verdana" w:cs="Arial"/>
                <w:sz w:val="20"/>
                <w:szCs w:val="20"/>
                <w:lang w:val="en-AU"/>
              </w:rPr>
            </w:pPr>
            <w:r>
              <w:rPr>
                <w:rFonts w:ascii="Verdana" w:eastAsia="Times New Roman" w:hAnsi="Verdana" w:cs="Arial"/>
                <w:sz w:val="20"/>
                <w:szCs w:val="20"/>
                <w:lang w:val="en-AU"/>
              </w:rPr>
              <w:t>Psychotherapy – 150hrs</w:t>
            </w:r>
          </w:p>
          <w:p w:rsidR="00B40C53" w:rsidRDefault="00B40C53">
            <w:pPr>
              <w:jc w:val="both"/>
              <w:rPr>
                <w:rFonts w:ascii="Verdana" w:eastAsia="Times New Roman" w:hAnsi="Verdana" w:cs="Arial"/>
                <w:b/>
                <w:sz w:val="20"/>
                <w:szCs w:val="20"/>
                <w:lang w:val="en-AU"/>
              </w:rPr>
            </w:pPr>
            <w:r>
              <w:rPr>
                <w:rFonts w:ascii="Verdana" w:eastAsia="Times New Roman" w:hAnsi="Verdana" w:cs="Arial"/>
                <w:sz w:val="20"/>
                <w:szCs w:val="20"/>
                <w:lang w:val="en-AU"/>
              </w:rPr>
              <w:t>Child and Adolescent Psychotherapy - 150hrs</w:t>
            </w:r>
            <w:r>
              <w:rPr>
                <w:rFonts w:ascii="Verdana" w:eastAsia="Times New Roman" w:hAnsi="Verdana" w:cs="Arial"/>
                <w:b/>
                <w:sz w:val="20"/>
                <w:szCs w:val="20"/>
                <w:lang w:val="en-AU"/>
              </w:rPr>
              <w:t xml:space="preserve"> </w:t>
            </w:r>
          </w:p>
          <w:p w:rsidR="00B40C53" w:rsidRDefault="00B40C53">
            <w:pPr>
              <w:overflowPunct w:val="0"/>
              <w:autoSpaceDE w:val="0"/>
              <w:autoSpaceDN w:val="0"/>
              <w:adjustRightInd w:val="0"/>
              <w:textAlignment w:val="baseline"/>
              <w:rPr>
                <w:rFonts w:ascii="Verdana" w:eastAsia="Times New Roman" w:hAnsi="Verdana" w:cs="Arial"/>
                <w:b/>
                <w:sz w:val="20"/>
                <w:szCs w:val="20"/>
                <w:lang w:eastAsia="en-US"/>
              </w:rPr>
            </w:pPr>
          </w:p>
        </w:tc>
      </w:tr>
      <w:tr w:rsidR="00B40C53">
        <w:tc>
          <w:tcPr>
            <w:tcW w:w="2122" w:type="dxa"/>
            <w:tcBorders>
              <w:top w:val="single" w:sz="4" w:space="0" w:color="auto"/>
              <w:left w:val="single" w:sz="4" w:space="0" w:color="auto"/>
              <w:bottom w:val="single" w:sz="4" w:space="0" w:color="auto"/>
              <w:right w:val="single" w:sz="4" w:space="0" w:color="auto"/>
            </w:tcBorders>
            <w:hideMark/>
          </w:tcPr>
          <w:p w:rsidR="00B40C53" w:rsidRDefault="00B40C53">
            <w:pPr>
              <w:tabs>
                <w:tab w:val="left" w:pos="0"/>
              </w:tabs>
              <w:overflowPunct w:val="0"/>
              <w:autoSpaceDE w:val="0"/>
              <w:autoSpaceDN w:val="0"/>
              <w:adjustRightInd w:val="0"/>
              <w:ind w:right="1"/>
              <w:textAlignment w:val="baseline"/>
              <w:rPr>
                <w:rFonts w:ascii="Verdana" w:eastAsia="Times New Roman" w:hAnsi="Verdana" w:cs="Arial"/>
                <w:b/>
                <w:sz w:val="20"/>
                <w:szCs w:val="20"/>
                <w:lang w:eastAsia="en-US"/>
              </w:rPr>
            </w:pPr>
            <w:r>
              <w:rPr>
                <w:rFonts w:ascii="Verdana" w:hAnsi="Verdana" w:cs="Arial"/>
                <w:b/>
                <w:sz w:val="20"/>
                <w:szCs w:val="20"/>
              </w:rPr>
              <w:t>Graduation assessment requirement / process:</w:t>
            </w:r>
          </w:p>
        </w:tc>
        <w:tc>
          <w:tcPr>
            <w:tcW w:w="7229" w:type="dxa"/>
            <w:tcBorders>
              <w:top w:val="single" w:sz="4" w:space="0" w:color="auto"/>
              <w:left w:val="single" w:sz="4" w:space="0" w:color="auto"/>
              <w:bottom w:val="single" w:sz="4" w:space="0" w:color="auto"/>
              <w:right w:val="single" w:sz="4" w:space="0" w:color="auto"/>
            </w:tcBorders>
            <w:hideMark/>
          </w:tcPr>
          <w:p w:rsidR="00B40C53" w:rsidRDefault="00B40C53">
            <w:pPr>
              <w:overflowPunct w:val="0"/>
              <w:autoSpaceDE w:val="0"/>
              <w:autoSpaceDN w:val="0"/>
              <w:adjustRightInd w:val="0"/>
              <w:textAlignment w:val="baseline"/>
              <w:rPr>
                <w:rFonts w:ascii="Verdana" w:eastAsia="Times New Roman" w:hAnsi="Verdana" w:cs="Arial"/>
                <w:b/>
                <w:sz w:val="20"/>
                <w:szCs w:val="20"/>
                <w:lang w:eastAsia="en-US"/>
              </w:rPr>
            </w:pPr>
            <w:r>
              <w:rPr>
                <w:rFonts w:ascii="Verdana" w:hAnsi="Verdana" w:cs="Arial"/>
                <w:sz w:val="20"/>
                <w:szCs w:val="20"/>
              </w:rPr>
              <w:t>A case study, supervisory reports and an oral account of therapeutic practice.</w:t>
            </w:r>
          </w:p>
        </w:tc>
      </w:tr>
    </w:tbl>
    <w:p w:rsidR="00B40C53" w:rsidRDefault="00B40C53" w:rsidP="00B40C53">
      <w:pPr>
        <w:ind w:right="46"/>
        <w:rPr>
          <w:rFonts w:ascii="Verdana" w:hAnsi="Verdana" w:cs="Arial"/>
          <w:b/>
          <w:i/>
          <w:iCs/>
          <w:sz w:val="20"/>
          <w:szCs w:val="20"/>
        </w:rPr>
      </w:pPr>
    </w:p>
    <w:p w:rsidR="00B40C53" w:rsidRDefault="00B40C53" w:rsidP="00B40C53">
      <w:pPr>
        <w:ind w:right="46"/>
        <w:rPr>
          <w:rFonts w:ascii="Verdana" w:hAnsi="Verdana" w:cs="Arial"/>
          <w:b/>
          <w:iCs/>
          <w:sz w:val="20"/>
          <w:szCs w:val="20"/>
        </w:rPr>
      </w:pPr>
      <w:r>
        <w:rPr>
          <w:rFonts w:ascii="Verdana" w:hAnsi="Verdana" w:cs="Arial"/>
          <w:b/>
          <w:iCs/>
          <w:sz w:val="20"/>
          <w:szCs w:val="20"/>
        </w:rPr>
        <w:t xml:space="preserve">Note: </w:t>
      </w:r>
      <w:r>
        <w:rPr>
          <w:rFonts w:ascii="Verdana" w:hAnsi="Verdana" w:cs="Arial"/>
          <w:iCs/>
          <w:sz w:val="20"/>
          <w:szCs w:val="20"/>
        </w:rPr>
        <w:t>The Board provides a detailed assessment guide for practitioners to help them through this process.  This guide is located on the Board’s website.</w:t>
      </w:r>
    </w:p>
    <w:p w:rsidR="00B40C53" w:rsidRDefault="00B40C53" w:rsidP="00B40C53">
      <w:pPr>
        <w:rPr>
          <w:rFonts w:ascii="Verdana" w:hAnsi="Verdana"/>
          <w:sz w:val="20"/>
          <w:szCs w:val="20"/>
        </w:rPr>
      </w:pPr>
    </w:p>
    <w:p w:rsidR="00B40C53" w:rsidRDefault="00B40C53" w:rsidP="00B40C53">
      <w:pPr>
        <w:ind w:right="46"/>
        <w:rPr>
          <w:rFonts w:ascii="Verdana" w:hAnsi="Verdana" w:cs="Arial"/>
          <w:b/>
          <w:i/>
          <w:iCs/>
          <w:sz w:val="20"/>
          <w:szCs w:val="20"/>
        </w:rPr>
      </w:pPr>
      <w:r>
        <w:rPr>
          <w:rFonts w:ascii="Verdana" w:hAnsi="Verdana" w:cs="Arial"/>
          <w:b/>
          <w:i/>
          <w:iCs/>
          <w:sz w:val="20"/>
          <w:szCs w:val="20"/>
        </w:rPr>
        <w:t xml:space="preserve">Date </w:t>
      </w:r>
      <w:proofErr w:type="gramStart"/>
      <w:r>
        <w:rPr>
          <w:rFonts w:ascii="Verdana" w:hAnsi="Verdana" w:cs="Arial"/>
          <w:b/>
          <w:i/>
          <w:iCs/>
          <w:sz w:val="20"/>
          <w:szCs w:val="20"/>
        </w:rPr>
        <w:t>approved:</w:t>
      </w:r>
      <w:proofErr w:type="gramEnd"/>
      <w:r>
        <w:rPr>
          <w:rFonts w:ascii="Verdana" w:hAnsi="Verdana" w:cs="Arial"/>
          <w:b/>
          <w:i/>
          <w:iCs/>
          <w:sz w:val="20"/>
          <w:szCs w:val="20"/>
        </w:rPr>
        <w:tab/>
        <w:t>Nov 2008</w:t>
      </w:r>
    </w:p>
    <w:p w:rsidR="00B40C53" w:rsidRDefault="00B40C53" w:rsidP="00B40C53">
      <w:pPr>
        <w:ind w:right="46"/>
        <w:rPr>
          <w:rFonts w:ascii="Verdana" w:hAnsi="Verdana" w:cs="Arial"/>
          <w:b/>
          <w:i/>
          <w:iCs/>
          <w:sz w:val="20"/>
          <w:szCs w:val="20"/>
        </w:rPr>
      </w:pPr>
      <w:r>
        <w:rPr>
          <w:rFonts w:ascii="Verdana" w:hAnsi="Verdana" w:cs="Arial"/>
          <w:b/>
          <w:i/>
          <w:iCs/>
          <w:sz w:val="20"/>
          <w:szCs w:val="20"/>
        </w:rPr>
        <w:t>Date of updates:</w:t>
      </w:r>
      <w:r>
        <w:rPr>
          <w:rFonts w:ascii="Verdana" w:hAnsi="Verdana" w:cs="Arial"/>
          <w:b/>
          <w:i/>
          <w:iCs/>
          <w:sz w:val="20"/>
          <w:szCs w:val="20"/>
        </w:rPr>
        <w:tab/>
        <w:t>Mar 2009 and September 2014</w:t>
      </w:r>
    </w:p>
    <w:p w:rsidR="00B40C53" w:rsidRDefault="00B40C53" w:rsidP="00B40C53">
      <w:pPr>
        <w:rPr>
          <w:rFonts w:ascii="Verdana" w:eastAsia="Calibri" w:hAnsi="Verdana"/>
          <w:sz w:val="20"/>
          <w:szCs w:val="20"/>
          <w:lang w:eastAsia="en-US"/>
        </w:rPr>
      </w:pPr>
    </w:p>
    <w:p w:rsidR="00B40C53" w:rsidRDefault="00B40C53" w:rsidP="00B40C53">
      <w:pPr>
        <w:rPr>
          <w:rFonts w:ascii="Verdana" w:hAnsi="Verdana"/>
          <w:sz w:val="20"/>
          <w:szCs w:val="20"/>
        </w:rPr>
      </w:pPr>
    </w:p>
    <w:p w:rsidR="00B40C53" w:rsidRDefault="00B40C53" w:rsidP="00B40C53">
      <w:pPr>
        <w:outlineLvl w:val="0"/>
        <w:rPr>
          <w:rFonts w:ascii="Verdana" w:hAnsi="Verdana"/>
          <w:sz w:val="20"/>
          <w:szCs w:val="20"/>
        </w:rPr>
      </w:pPr>
      <w:bookmarkStart w:id="3" w:name="_GoBack"/>
      <w:bookmarkEnd w:id="3"/>
    </w:p>
    <w:bookmarkEnd w:id="0"/>
    <w:bookmarkEnd w:id="1"/>
    <w:bookmarkEnd w:id="2"/>
    <w:sectPr w:rsidR="00B40C53" w:rsidSect="005C1185">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53" w:rsidRDefault="00B40C53" w:rsidP="00B40C53">
      <w:r>
        <w:separator/>
      </w:r>
    </w:p>
  </w:endnote>
  <w:endnote w:type="continuationSeparator" w:id="0">
    <w:p w:rsidR="00B40C53" w:rsidRDefault="00B40C53" w:rsidP="00B4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53" w:rsidRDefault="00B40C53" w:rsidP="00B40C53">
      <w:r>
        <w:separator/>
      </w:r>
    </w:p>
  </w:footnote>
  <w:footnote w:type="continuationSeparator" w:id="0">
    <w:p w:rsidR="00B40C53" w:rsidRDefault="00B40C53" w:rsidP="00B40C53">
      <w:r>
        <w:continuationSeparator/>
      </w:r>
    </w:p>
  </w:footnote>
  <w:footnote w:id="1">
    <w:p w:rsidR="00B40C53" w:rsidRDefault="00B40C53" w:rsidP="00B40C53">
      <w:pPr>
        <w:pStyle w:val="FootnoteText"/>
        <w:rPr>
          <w:sz w:val="20"/>
          <w:szCs w:val="20"/>
          <w:lang w:val="en-NZ"/>
        </w:rPr>
      </w:pPr>
      <w:r>
        <w:rPr>
          <w:rStyle w:val="FootnoteReference"/>
        </w:rPr>
        <w:footnoteRef/>
      </w:r>
      <w:r>
        <w:t xml:space="preserve"> </w:t>
      </w:r>
      <w:r>
        <w:rPr>
          <w:rFonts w:ascii="Verdana" w:hAnsi="Verdana"/>
          <w:sz w:val="16"/>
          <w:szCs w:val="16"/>
          <w:lang w:val="en-NZ"/>
        </w:rPr>
        <w:t>Refer to the Board’s supervision policy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AE24CD"/>
    <w:multiLevelType w:val="hybridMultilevel"/>
    <w:tmpl w:val="6A78FEAA"/>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E221B17"/>
    <w:multiLevelType w:val="hybridMultilevel"/>
    <w:tmpl w:val="6B32F742"/>
    <w:lvl w:ilvl="0" w:tplc="A9800A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C53"/>
    <w:rsid w:val="000601B0"/>
    <w:rsid w:val="005C1185"/>
    <w:rsid w:val="00601BD1"/>
    <w:rsid w:val="00AF49B6"/>
    <w:rsid w:val="00B40C5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22EE39-88FA-4AA0-B7F8-9C55D0AB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C53"/>
    <w:pPr>
      <w:spacing w:after="0" w:line="240" w:lineRule="auto"/>
    </w:pPr>
    <w:rPr>
      <w:rFonts w:ascii="Arial" w:eastAsia="MS Mincho"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t Char,Used by Word for text of Help footnotes Char"/>
    <w:basedOn w:val="DefaultParagraphFont"/>
    <w:link w:val="FootnoteText"/>
    <w:uiPriority w:val="99"/>
    <w:semiHidden/>
    <w:locked/>
    <w:rsid w:val="00B40C53"/>
    <w:rPr>
      <w:rFonts w:ascii="Arial" w:eastAsia="Times New Roman" w:hAnsi="Arial" w:cs="Arial"/>
      <w:lang w:val="en-US"/>
    </w:rPr>
  </w:style>
  <w:style w:type="paragraph" w:styleId="FootnoteText">
    <w:name w:val="footnote text"/>
    <w:aliases w:val="ft,Used by Word for text of Help footnotes"/>
    <w:basedOn w:val="Normal"/>
    <w:link w:val="FootnoteTextChar"/>
    <w:uiPriority w:val="99"/>
    <w:semiHidden/>
    <w:unhideWhenUsed/>
    <w:rsid w:val="00B40C53"/>
    <w:pPr>
      <w:jc w:val="both"/>
    </w:pPr>
    <w:rPr>
      <w:rFonts w:eastAsia="Times New Roman" w:cs="Arial"/>
      <w:szCs w:val="22"/>
      <w:lang w:val="en-US" w:eastAsia="en-US"/>
    </w:rPr>
  </w:style>
  <w:style w:type="character" w:customStyle="1" w:styleId="FootnoteTextChar1">
    <w:name w:val="Footnote Text Char1"/>
    <w:basedOn w:val="DefaultParagraphFont"/>
    <w:uiPriority w:val="99"/>
    <w:semiHidden/>
    <w:rsid w:val="00B40C53"/>
    <w:rPr>
      <w:rFonts w:ascii="Arial" w:eastAsia="MS Mincho" w:hAnsi="Arial" w:cs="Times New Roman"/>
      <w:sz w:val="20"/>
      <w:szCs w:val="20"/>
      <w:lang w:eastAsia="ja-JP"/>
    </w:rPr>
  </w:style>
  <w:style w:type="character" w:styleId="FootnoteReference">
    <w:name w:val="footnote reference"/>
    <w:aliases w:val="fr,Used by Word for Help footnote symbols"/>
    <w:uiPriority w:val="99"/>
    <w:semiHidden/>
    <w:unhideWhenUsed/>
    <w:rsid w:val="00B40C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Petro</dc:creator>
  <cp:keywords/>
  <dc:description/>
  <cp:lastModifiedBy>Eva Petro</cp:lastModifiedBy>
  <cp:revision>1</cp:revision>
  <dcterms:created xsi:type="dcterms:W3CDTF">2018-07-10T20:58:00Z</dcterms:created>
  <dcterms:modified xsi:type="dcterms:W3CDTF">2018-07-10T20:59:00Z</dcterms:modified>
</cp:coreProperties>
</file>