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63A" w:rsidRDefault="00F5563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F5563A" w:rsidRDefault="00F5563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F5563A" w:rsidRDefault="00F5563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F5563A" w:rsidRDefault="00F5563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F5563A" w:rsidRDefault="00840011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Appendix two </w:t>
      </w:r>
    </w:p>
    <w:p w:rsidR="00F5563A" w:rsidRDefault="00F5563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F5563A" w:rsidRDefault="00840011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Psychotherapists Board of Aotearoa New Zealand Recertification Auditor Checklist </w:t>
      </w:r>
      <w:r w:rsidR="00097839">
        <w:rPr>
          <w:rFonts w:ascii="Verdana" w:hAnsi="Verdana"/>
          <w:b/>
          <w:sz w:val="20"/>
          <w:szCs w:val="20"/>
        </w:rPr>
        <w:t>2018/2019</w:t>
      </w:r>
    </w:p>
    <w:p w:rsidR="00D4703F" w:rsidRDefault="00D4703F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D4703F" w:rsidRDefault="00D4703F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Auditor: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</w:t>
      </w:r>
    </w:p>
    <w:p w:rsidR="00F5563A" w:rsidRDefault="00840011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tbl>
      <w:tblPr>
        <w:tblW w:w="161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1021"/>
        <w:gridCol w:w="1193"/>
        <w:gridCol w:w="2898"/>
        <w:gridCol w:w="1890"/>
        <w:gridCol w:w="2430"/>
        <w:gridCol w:w="1692"/>
        <w:gridCol w:w="1890"/>
      </w:tblGrid>
      <w:tr w:rsidR="00F5563A" w:rsidTr="00840011">
        <w:trPr>
          <w:trHeight w:val="566"/>
        </w:trPr>
        <w:tc>
          <w:tcPr>
            <w:tcW w:w="3119" w:type="dxa"/>
            <w:gridSpan w:val="2"/>
          </w:tcPr>
          <w:p w:rsidR="00F5563A" w:rsidRDefault="00840011">
            <w:pPr>
              <w:pStyle w:val="Text"/>
              <w:spacing w:before="0"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Practitioner Details</w:t>
            </w:r>
          </w:p>
        </w:tc>
        <w:tc>
          <w:tcPr>
            <w:tcW w:w="2214" w:type="dxa"/>
            <w:gridSpan w:val="2"/>
            <w:shd w:val="clear" w:color="auto" w:fill="D9D9D9"/>
          </w:tcPr>
          <w:p w:rsidR="00F5563A" w:rsidRDefault="00840011">
            <w:pPr>
              <w:pStyle w:val="Text"/>
              <w:spacing w:before="0"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Paperwork</w:t>
            </w:r>
          </w:p>
        </w:tc>
        <w:tc>
          <w:tcPr>
            <w:tcW w:w="7218" w:type="dxa"/>
            <w:gridSpan w:val="3"/>
            <w:shd w:val="clear" w:color="auto" w:fill="FFE599"/>
          </w:tcPr>
          <w:p w:rsidR="00F5563A" w:rsidRDefault="00840011">
            <w:pPr>
              <w:pStyle w:val="Text"/>
              <w:spacing w:before="0"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Documentation Review</w:t>
            </w:r>
          </w:p>
        </w:tc>
        <w:tc>
          <w:tcPr>
            <w:tcW w:w="3582" w:type="dxa"/>
            <w:gridSpan w:val="2"/>
            <w:shd w:val="clear" w:color="auto" w:fill="auto"/>
          </w:tcPr>
          <w:p w:rsidR="00F5563A" w:rsidRDefault="00840011">
            <w:pPr>
              <w:pStyle w:val="Text"/>
              <w:spacing w:before="0"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Summary</w:t>
            </w:r>
          </w:p>
        </w:tc>
      </w:tr>
      <w:tr w:rsidR="00F5563A" w:rsidTr="00C20134">
        <w:tc>
          <w:tcPr>
            <w:tcW w:w="2269" w:type="dxa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Anonymised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Practitioner Number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840011">
              <w:rPr>
                <w:rFonts w:ascii="Verdana" w:hAnsi="Verdana"/>
                <w:b/>
                <w:sz w:val="20"/>
                <w:szCs w:val="20"/>
              </w:rPr>
              <w:t xml:space="preserve">Practitioner </w:t>
            </w:r>
            <w:r w:rsidR="00C20134">
              <w:rPr>
                <w:rFonts w:ascii="Verdana" w:hAnsi="Verdana"/>
                <w:b/>
                <w:sz w:val="20"/>
                <w:szCs w:val="20"/>
              </w:rPr>
              <w:t>#</w:t>
            </w:r>
            <w:r w:rsidRPr="00840011">
              <w:rPr>
                <w:rFonts w:ascii="Verdana" w:hAnsi="Verdana"/>
                <w:b/>
                <w:sz w:val="20"/>
                <w:szCs w:val="20"/>
              </w:rPr>
              <w:t>xx</w:t>
            </w:r>
          </w:p>
        </w:tc>
        <w:tc>
          <w:tcPr>
            <w:tcW w:w="850" w:type="dxa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 </w:t>
            </w:r>
          </w:p>
        </w:tc>
        <w:tc>
          <w:tcPr>
            <w:tcW w:w="1021" w:type="dxa"/>
            <w:shd w:val="clear" w:color="auto" w:fill="D9D9D9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Legible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MS Gothic" w:eastAsia="MS Gothic" w:hAnsi="MS Gothic"/>
                <w:sz w:val="20"/>
                <w:szCs w:val="20"/>
              </w:rPr>
              <w:br/>
            </w:r>
            <w:r>
              <w:rPr>
                <w:rFonts w:ascii="MS Gothic" w:eastAsia="MS Gothic" w:hAnsi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193" w:type="dxa"/>
            <w:shd w:val="clear" w:color="auto" w:fill="D9D9D9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All Sections Complete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MS Gothic" w:eastAsia="MS Gothic" w:hAnsi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2898" w:type="dxa"/>
            <w:shd w:val="clear" w:color="auto" w:fill="FFE599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Evidence of self-reflection in each of the areas of competence and standards of practice </w:t>
            </w:r>
          </w:p>
        </w:tc>
        <w:tc>
          <w:tcPr>
            <w:tcW w:w="1890" w:type="dxa"/>
            <w:shd w:val="clear" w:color="auto" w:fill="FFE599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Development plan clearly articulated </w:t>
            </w:r>
          </w:p>
        </w:tc>
        <w:tc>
          <w:tcPr>
            <w:tcW w:w="2430" w:type="dxa"/>
            <w:shd w:val="clear" w:color="auto" w:fill="FFE599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Review of progress  is congruent and/or further areas for development have been identified (living document)</w:t>
            </w:r>
          </w:p>
        </w:tc>
        <w:tc>
          <w:tcPr>
            <w:tcW w:w="1692" w:type="dxa"/>
            <w:shd w:val="clear" w:color="auto" w:fill="auto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Comments</w:t>
            </w:r>
          </w:p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 requirements or</w:t>
            </w:r>
          </w:p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Did not meet requirements</w:t>
            </w:r>
          </w:p>
        </w:tc>
      </w:tr>
      <w:tr w:rsidR="00F5563A" w:rsidTr="00C20134">
        <w:trPr>
          <w:trHeight w:val="809"/>
        </w:trPr>
        <w:tc>
          <w:tcPr>
            <w:tcW w:w="2269" w:type="dxa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Core Clinical Competencies</w:t>
            </w:r>
          </w:p>
        </w:tc>
        <w:tc>
          <w:tcPr>
            <w:tcW w:w="850" w:type="dxa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5563A" w:rsidTr="00C20134">
        <w:trPr>
          <w:trHeight w:val="881"/>
        </w:trPr>
        <w:tc>
          <w:tcPr>
            <w:tcW w:w="2269" w:type="dxa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Standards of Cultural Competence</w:t>
            </w:r>
          </w:p>
        </w:tc>
        <w:tc>
          <w:tcPr>
            <w:tcW w:w="850" w:type="dxa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5563A" w:rsidTr="00C20134">
        <w:trPr>
          <w:trHeight w:val="881"/>
        </w:trPr>
        <w:tc>
          <w:tcPr>
            <w:tcW w:w="2269" w:type="dxa"/>
          </w:tcPr>
          <w:p w:rsidR="00F5563A" w:rsidRDefault="00840011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Standards of Ethical Conduct</w:t>
            </w:r>
          </w:p>
        </w:tc>
        <w:tc>
          <w:tcPr>
            <w:tcW w:w="850" w:type="dxa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D9D9D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98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E599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F5563A" w:rsidRDefault="00F5563A">
            <w:pPr>
              <w:pStyle w:val="Text"/>
              <w:spacing w:before="0"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F5563A" w:rsidRDefault="00840011">
      <w:pPr>
        <w:pStyle w:val="Text"/>
        <w:spacing w:before="0" w:after="0" w:line="240" w:lineRule="auto"/>
        <w:rPr>
          <w:rFonts w:ascii="Verdana" w:eastAsia="MS Gothic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eastAsia="MS Gothic" w:hAnsi="Verdana"/>
          <w:b/>
          <w:sz w:val="20"/>
          <w:szCs w:val="20"/>
        </w:rPr>
        <w:t xml:space="preserve"> </w:t>
      </w:r>
    </w:p>
    <w:p w:rsidR="00F5563A" w:rsidRDefault="00F5563A">
      <w:pPr>
        <w:pStyle w:val="Text"/>
        <w:spacing w:before="0" w:after="0" w:line="240" w:lineRule="auto"/>
        <w:rPr>
          <w:rFonts w:ascii="Verdana" w:eastAsia="MS Gothic" w:hAnsi="Verdana"/>
          <w:b/>
          <w:sz w:val="20"/>
          <w:szCs w:val="20"/>
        </w:rPr>
      </w:pPr>
    </w:p>
    <w:p w:rsidR="00F5563A" w:rsidRDefault="00840011">
      <w:pPr>
        <w:pStyle w:val="Text"/>
        <w:spacing w:before="0" w:after="0" w:line="240" w:lineRule="auto"/>
        <w:rPr>
          <w:rFonts w:ascii="Verdana" w:eastAsia="MS Gothic" w:hAnsi="Verdana"/>
          <w:b/>
          <w:sz w:val="20"/>
          <w:szCs w:val="20"/>
        </w:rPr>
      </w:pPr>
      <w:r>
        <w:rPr>
          <w:rFonts w:ascii="Verdana" w:eastAsia="MS Gothic" w:hAnsi="Verdana"/>
          <w:b/>
          <w:sz w:val="20"/>
          <w:szCs w:val="20"/>
        </w:rPr>
        <w:t xml:space="preserve">     </w:t>
      </w:r>
    </w:p>
    <w:p w:rsidR="00F5563A" w:rsidRDefault="00F5563A">
      <w:pPr>
        <w:rPr>
          <w:rFonts w:ascii="Verdana" w:hAnsi="Verdana"/>
          <w:sz w:val="20"/>
          <w:szCs w:val="20"/>
        </w:rPr>
      </w:pPr>
    </w:p>
    <w:p w:rsidR="00F5563A" w:rsidRDefault="00F5563A"/>
    <w:sectPr w:rsidR="00F55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2157" w:bottom="830" w:left="125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3A" w:rsidRDefault="00840011">
      <w:r>
        <w:separator/>
      </w:r>
    </w:p>
  </w:endnote>
  <w:endnote w:type="continuationSeparator" w:id="0">
    <w:p w:rsidR="00F5563A" w:rsidRDefault="0084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9C" w:rsidRDefault="00AD01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3A" w:rsidRDefault="00840011">
    <w:pPr>
      <w:pStyle w:val="Footer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Page </w:t>
    </w: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PAGE </w:instrText>
    </w:r>
    <w:r>
      <w:rPr>
        <w:rFonts w:ascii="Verdana" w:hAnsi="Verdana"/>
        <w:b/>
        <w:bCs/>
        <w:sz w:val="20"/>
        <w:szCs w:val="20"/>
      </w:rPr>
      <w:fldChar w:fldCharType="separate"/>
    </w:r>
    <w:r w:rsidR="00415439">
      <w:rPr>
        <w:rFonts w:ascii="Verdana" w:hAnsi="Verdana"/>
        <w:b/>
        <w:bCs/>
        <w:noProof/>
        <w:sz w:val="20"/>
        <w:szCs w:val="20"/>
      </w:rPr>
      <w:t>1</w:t>
    </w:r>
    <w:r>
      <w:rPr>
        <w:rFonts w:ascii="Verdana" w:hAnsi="Verdana"/>
        <w:b/>
        <w:bCs/>
        <w:sz w:val="20"/>
        <w:szCs w:val="20"/>
      </w:rPr>
      <w:fldChar w:fldCharType="end"/>
    </w:r>
    <w:r>
      <w:rPr>
        <w:rFonts w:ascii="Verdana" w:hAnsi="Verdana"/>
        <w:sz w:val="20"/>
        <w:szCs w:val="20"/>
      </w:rPr>
      <w:t xml:space="preserve"> of </w:t>
    </w: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NUMPAGES  </w:instrText>
    </w:r>
    <w:r>
      <w:rPr>
        <w:rFonts w:ascii="Verdana" w:hAnsi="Verdana"/>
        <w:b/>
        <w:bCs/>
        <w:sz w:val="20"/>
        <w:szCs w:val="20"/>
      </w:rPr>
      <w:fldChar w:fldCharType="separate"/>
    </w:r>
    <w:r w:rsidR="00415439">
      <w:rPr>
        <w:rFonts w:ascii="Verdana" w:hAnsi="Verdana"/>
        <w:b/>
        <w:bCs/>
        <w:noProof/>
        <w:sz w:val="20"/>
        <w:szCs w:val="20"/>
      </w:rPr>
      <w:t>1</w:t>
    </w:r>
    <w:r>
      <w:rPr>
        <w:rFonts w:ascii="Verdana" w:hAnsi="Verdana"/>
        <w:b/>
        <w:bCs/>
        <w:sz w:val="20"/>
        <w:szCs w:val="20"/>
      </w:rPr>
      <w:fldChar w:fldCharType="end"/>
    </w:r>
  </w:p>
  <w:p w:rsidR="00F5563A" w:rsidRDefault="00F556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9C" w:rsidRDefault="00AD0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3A" w:rsidRDefault="00840011">
      <w:r>
        <w:separator/>
      </w:r>
    </w:p>
  </w:footnote>
  <w:footnote w:type="continuationSeparator" w:id="0">
    <w:p w:rsidR="00F5563A" w:rsidRDefault="0084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9C" w:rsidRDefault="00AD0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3A" w:rsidRDefault="00840011" w:rsidP="00415439">
    <w:pPr>
      <w:pStyle w:val="Header"/>
      <w:ind w:firstLine="1440"/>
      <w:jc w:val="right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  <w:lang w:val="en-NZ" w:eastAsia="en-NZ"/>
      </w:rPr>
      <w:drawing>
        <wp:anchor distT="0" distB="0" distL="114300" distR="114300" simplePos="0" relativeHeight="251689472" behindDoc="1" locked="0" layoutInCell="1" allowOverlap="1">
          <wp:simplePos x="0" y="0"/>
          <wp:positionH relativeFrom="page">
            <wp:posOffset>3556635</wp:posOffset>
          </wp:positionH>
          <wp:positionV relativeFrom="page">
            <wp:posOffset>151765</wp:posOffset>
          </wp:positionV>
          <wp:extent cx="2879725" cy="1200785"/>
          <wp:effectExtent l="0" t="0" r="0" b="0"/>
          <wp:wrapNone/>
          <wp:docPr id="1" name="Picture 1" descr="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439">
      <w:rPr>
        <w:rFonts w:ascii="Verdana" w:hAnsi="Verdana"/>
        <w:sz w:val="20"/>
        <w:szCs w:val="20"/>
      </w:rPr>
      <w:t xml:space="preserve">  </w:t>
    </w:r>
    <w:r w:rsidR="00415439">
      <w:rPr>
        <w:rFonts w:ascii="Verdana" w:hAnsi="Verdana"/>
        <w:sz w:val="20"/>
        <w:szCs w:val="20"/>
      </w:rPr>
      <w:tab/>
    </w:r>
    <w:r w:rsidR="00415439">
      <w:rPr>
        <w:rFonts w:ascii="Verdana" w:hAnsi="Verdana"/>
        <w:sz w:val="20"/>
        <w:szCs w:val="20"/>
      </w:rPr>
      <w:tab/>
      <w:t xml:space="preserve">  </w:t>
    </w:r>
    <w:r>
      <w:rPr>
        <w:rFonts w:ascii="Verdana" w:hAnsi="Verdana"/>
        <w:sz w:val="20"/>
        <w:szCs w:val="20"/>
      </w:rPr>
      <w:t xml:space="preserve">Audits taking place between </w:t>
    </w:r>
    <w:r>
      <w:rPr>
        <w:rFonts w:ascii="Verdana" w:hAnsi="Verdana"/>
        <w:sz w:val="20"/>
        <w:szCs w:val="20"/>
      </w:rPr>
      <w:t>Feb</w:t>
    </w:r>
    <w:bookmarkStart w:id="0" w:name="_GoBack"/>
    <w:bookmarkEnd w:id="0"/>
    <w:r w:rsidR="00AD019C">
      <w:rPr>
        <w:rFonts w:ascii="Verdana" w:hAnsi="Verdana"/>
        <w:sz w:val="20"/>
        <w:szCs w:val="20"/>
      </w:rPr>
      <w:t xml:space="preserve"> – June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9C" w:rsidRDefault="00AD01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3A"/>
    <w:rsid w:val="00097839"/>
    <w:rsid w:val="00415439"/>
    <w:rsid w:val="00840011"/>
    <w:rsid w:val="00AD019C"/>
    <w:rsid w:val="00C20134"/>
    <w:rsid w:val="00D4703F"/>
    <w:rsid w:val="00F5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A851"/>
  <w15:docId w15:val="{33C8F131-8235-462A-B21C-E2324718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pPr>
      <w:jc w:val="both"/>
    </w:pPr>
    <w:rPr>
      <w:rFonts w:ascii="Verdana" w:hAnsi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">
    <w:name w:val="Text"/>
    <w:aliases w:val="t"/>
    <w:link w:val="TextChar"/>
    <w:pPr>
      <w:spacing w:before="60" w:after="60" w:line="260" w:lineRule="exact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character" w:customStyle="1" w:styleId="TextChar">
    <w:name w:val="Text Char"/>
    <w:aliases w:val="t Char"/>
    <w:link w:val="Text"/>
    <w:rPr>
      <w:rFonts w:ascii="Arial" w:eastAsia="Times New Roman" w:hAnsi="Arial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54C12-EEAE-4314-89D3-3B85E792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Psychotherapist Board of Aotearoa New Zealand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Petro</dc:creator>
  <cp:lastModifiedBy>Natasha Khouri</cp:lastModifiedBy>
  <cp:revision>6</cp:revision>
  <dcterms:created xsi:type="dcterms:W3CDTF">2019-02-03T18:07:00Z</dcterms:created>
  <dcterms:modified xsi:type="dcterms:W3CDTF">2020-02-17T22:15:00Z</dcterms:modified>
</cp:coreProperties>
</file>